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014283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A21521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323E34" w:rsidRPr="009C1947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8867C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8867C6">
        <w:rPr>
          <w:rFonts w:ascii="Times New Roman" w:hAnsi="Times New Roman"/>
          <w:sz w:val="28"/>
          <w:szCs w:val="28"/>
        </w:rPr>
        <w:t>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______________№________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6325,11063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17977,43063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7927BB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743,81063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F705B2" w:rsidRDefault="00F705B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934E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B01F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4931,3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6231DC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21450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дорожного полотна по пер</w:t>
            </w:r>
            <w:r w:rsidR="00951265">
              <w:rPr>
                <w:rFonts w:ascii="Times New Roman" w:hAnsi="Times New Roman"/>
              </w:rPr>
              <w:t>.</w:t>
            </w:r>
            <w:r w:rsidRPr="009C1947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05B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362">
              <w:rPr>
                <w:rFonts w:ascii="Times New Roman" w:hAnsi="Times New Roman"/>
              </w:rPr>
              <w:t>99</w:t>
            </w:r>
            <w:r w:rsidR="00F71614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Молодежная,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ул. Белинского, ул. Пушкина, ул. Весенняя.</w:t>
            </w:r>
            <w:proofErr w:type="gramEnd"/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7927B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832,3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Приамурский ул.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Космическая, ул. Хабаровская, ул. Рыбхоз.</w:t>
            </w:r>
          </w:p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Набережная, ул.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FC5106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Pr="009C1947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17977,43063</w:t>
            </w:r>
          </w:p>
        </w:tc>
        <w:tc>
          <w:tcPr>
            <w:tcW w:w="1134" w:type="dxa"/>
          </w:tcPr>
          <w:p w:rsidR="00212E0A" w:rsidRPr="009C1947" w:rsidRDefault="00DA04BF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A04BF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2523,81063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DA04BF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</w:rPr>
              <w:t>743,81063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A04BF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2523,81063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A04BF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743,81063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</w:t>
            </w:r>
            <w:r w:rsidR="00B01F0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73,62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B01F00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4931,3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DA04BF" w:rsidP="00B01F0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B01F00">
              <w:rPr>
                <w:b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Cs w:val="24"/>
              </w:rPr>
              <w:t>73,62</w:t>
            </w:r>
          </w:p>
        </w:tc>
        <w:tc>
          <w:tcPr>
            <w:tcW w:w="1134" w:type="dxa"/>
          </w:tcPr>
          <w:p w:rsidR="00D80B11" w:rsidRPr="009C1947" w:rsidRDefault="00B01F00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4931,3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CC" w:rsidRDefault="003A18CC" w:rsidP="00A73CD3">
      <w:pPr>
        <w:spacing w:after="0" w:line="240" w:lineRule="auto"/>
      </w:pPr>
      <w:r>
        <w:separator/>
      </w:r>
    </w:p>
  </w:endnote>
  <w:endnote w:type="continuationSeparator" w:id="0">
    <w:p w:rsidR="003A18CC" w:rsidRDefault="003A18CC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CC" w:rsidRDefault="003A18CC" w:rsidP="00A73CD3">
      <w:pPr>
        <w:spacing w:after="0" w:line="240" w:lineRule="auto"/>
      </w:pPr>
      <w:r>
        <w:separator/>
      </w:r>
    </w:p>
  </w:footnote>
  <w:footnote w:type="continuationSeparator" w:id="0">
    <w:p w:rsidR="003A18CC" w:rsidRDefault="003A18CC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615B"/>
    <w:rsid w:val="000627BA"/>
    <w:rsid w:val="00066A26"/>
    <w:rsid w:val="00070352"/>
    <w:rsid w:val="000742B4"/>
    <w:rsid w:val="00080CEF"/>
    <w:rsid w:val="00090CA2"/>
    <w:rsid w:val="00090D7B"/>
    <w:rsid w:val="00094D1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97D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6D94-A500-4CBF-B938-E552618F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13333</TotalTime>
  <Pages>9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408</cp:revision>
  <cp:lastPrinted>2023-01-25T04:01:00Z</cp:lastPrinted>
  <dcterms:created xsi:type="dcterms:W3CDTF">2017-10-16T00:01:00Z</dcterms:created>
  <dcterms:modified xsi:type="dcterms:W3CDTF">2023-01-25T06:26:00Z</dcterms:modified>
</cp:coreProperties>
</file>