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50" w:rsidRDefault="00AF3750" w:rsidP="00AF3750">
      <w:pPr>
        <w:pStyle w:val="a3"/>
        <w:spacing w:before="120" w:beforeAutospacing="0" w:after="120" w:afterAutospacing="0"/>
        <w:jc w:val="center"/>
        <w:rPr>
          <w:color w:val="000000"/>
          <w:sz w:val="28"/>
          <w:szCs w:val="28"/>
        </w:rPr>
      </w:pPr>
      <w:r w:rsidRPr="00AF3750">
        <w:rPr>
          <w:color w:val="000000"/>
          <w:sz w:val="28"/>
          <w:szCs w:val="28"/>
        </w:rPr>
        <w:t>ИНФОРМАЦИЯ</w:t>
      </w:r>
    </w:p>
    <w:p w:rsidR="00AF3750" w:rsidRPr="00AF3750" w:rsidRDefault="00AF3750" w:rsidP="00AF3750">
      <w:pPr>
        <w:pStyle w:val="a3"/>
        <w:spacing w:before="120" w:beforeAutospacing="0" w:after="120" w:afterAutospacing="0"/>
        <w:jc w:val="center"/>
        <w:rPr>
          <w:color w:val="000000"/>
          <w:sz w:val="28"/>
          <w:szCs w:val="28"/>
        </w:rPr>
      </w:pPr>
      <w:r w:rsidRPr="00AF3750">
        <w:rPr>
          <w:color w:val="000000"/>
          <w:sz w:val="28"/>
          <w:szCs w:val="28"/>
        </w:rPr>
        <w:t>о состоянии законности на  территории Смидовичского района</w:t>
      </w:r>
    </w:p>
    <w:p w:rsidR="00AF3750" w:rsidRPr="00AF3750" w:rsidRDefault="00AF3750" w:rsidP="00AF3750">
      <w:pPr>
        <w:pStyle w:val="a3"/>
        <w:spacing w:before="0" w:beforeAutospacing="0" w:after="0" w:afterAutospacing="0"/>
        <w:rPr>
          <w:color w:val="000000"/>
          <w:sz w:val="28"/>
          <w:szCs w:val="28"/>
        </w:rPr>
      </w:pPr>
      <w:r w:rsidRPr="00AF3750">
        <w:rPr>
          <w:color w:val="000000"/>
          <w:sz w:val="28"/>
          <w:szCs w:val="28"/>
        </w:rPr>
        <w:br/>
      </w:r>
      <w:proofErr w:type="gramStart"/>
      <w:r w:rsidRPr="00AF3750">
        <w:rPr>
          <w:color w:val="000000"/>
          <w:sz w:val="28"/>
          <w:szCs w:val="28"/>
        </w:rPr>
        <w:t>Во исполнение ст. 4 Федерального закона от 17.01.1992 № 2202-1 «О прокуратуре Российской Федерации» сообщаю, что в соответствии с Налоговым </w:t>
      </w:r>
      <w:hyperlink r:id="rId4" w:history="1">
        <w:r w:rsidRPr="00AF3750">
          <w:rPr>
            <w:rStyle w:val="a4"/>
            <w:color w:val="0026FF"/>
            <w:sz w:val="28"/>
            <w:szCs w:val="28"/>
            <w:u w:val="none"/>
          </w:rPr>
          <w:t>кодексом</w:t>
        </w:r>
      </w:hyperlink>
      <w:r w:rsidRPr="00AF3750">
        <w:rPr>
          <w:color w:val="000000"/>
          <w:sz w:val="28"/>
          <w:szCs w:val="28"/>
        </w:rPr>
        <w:t> Российской Федерации налог на имущество физических лиц является местным налогом </w:t>
      </w:r>
      <w:hyperlink r:id="rId5" w:history="1">
        <w:r w:rsidRPr="00AF3750">
          <w:rPr>
            <w:rStyle w:val="a4"/>
            <w:color w:val="0026FF"/>
            <w:sz w:val="28"/>
            <w:szCs w:val="28"/>
            <w:u w:val="none"/>
          </w:rPr>
          <w:t>(статья 15)</w:t>
        </w:r>
      </w:hyperlink>
      <w:r w:rsidRPr="00AF3750">
        <w:rPr>
          <w:color w:val="000000"/>
          <w:sz w:val="28"/>
          <w:szCs w:val="28"/>
        </w:rPr>
        <w:t>, устанавливается данным </w:t>
      </w:r>
      <w:hyperlink r:id="rId6" w:history="1">
        <w:r w:rsidRPr="00AF3750">
          <w:rPr>
            <w:rStyle w:val="a4"/>
            <w:color w:val="0026FF"/>
            <w:sz w:val="28"/>
            <w:szCs w:val="28"/>
            <w:u w:val="none"/>
          </w:rPr>
          <w:t>Кодексом</w:t>
        </w:r>
      </w:hyperlink>
      <w:hyperlink r:id="rId7" w:history="1">
        <w:r w:rsidRPr="00AF3750">
          <w:rPr>
            <w:rStyle w:val="a4"/>
            <w:color w:val="0026FF"/>
            <w:sz w:val="28"/>
            <w:szCs w:val="28"/>
            <w:u w:val="none"/>
          </w:rPr>
          <w:t>(глава 32)</w:t>
        </w:r>
      </w:hyperlink>
      <w:r w:rsidRPr="00AF3750">
        <w:rPr>
          <w:color w:val="000000"/>
          <w:sz w:val="28"/>
          <w:szCs w:val="28"/>
        </w:rPr>
        <w:t> и нормативными правовыми актами представительных органов муниципальных образований (законодательных (представительных) органов государственной власти городов федерального значения Москвы, Санкт-Петербурга и Севастополя) </w:t>
      </w:r>
      <w:hyperlink r:id="rId8" w:history="1">
        <w:r w:rsidRPr="00AF3750">
          <w:rPr>
            <w:rStyle w:val="a4"/>
            <w:color w:val="0026FF"/>
            <w:sz w:val="28"/>
            <w:szCs w:val="28"/>
            <w:u w:val="none"/>
          </w:rPr>
          <w:t>(пункт 1 статьи</w:t>
        </w:r>
        <w:proofErr w:type="gramEnd"/>
        <w:r w:rsidRPr="00AF3750">
          <w:rPr>
            <w:rStyle w:val="a4"/>
            <w:color w:val="0026FF"/>
            <w:sz w:val="28"/>
            <w:szCs w:val="28"/>
            <w:u w:val="none"/>
          </w:rPr>
          <w:t xml:space="preserve"> 399)</w:t>
        </w:r>
      </w:hyperlink>
      <w:r w:rsidRPr="00AF3750">
        <w:rPr>
          <w:color w:val="000000"/>
          <w:sz w:val="28"/>
          <w:szCs w:val="28"/>
        </w:rPr>
        <w:t xml:space="preserve">; </w:t>
      </w:r>
      <w:proofErr w:type="gramStart"/>
      <w:r w:rsidRPr="00AF3750">
        <w:rPr>
          <w:color w:val="000000"/>
          <w:sz w:val="28"/>
          <w:szCs w:val="28"/>
        </w:rPr>
        <w:t>устанавливая налог, эти органы определяют налоговые ставки в пределах, предусмотренных Налоговым </w:t>
      </w:r>
      <w:hyperlink r:id="rId9" w:history="1">
        <w:r w:rsidRPr="00AF3750">
          <w:rPr>
            <w:rStyle w:val="a4"/>
            <w:color w:val="0026FF"/>
            <w:sz w:val="28"/>
            <w:szCs w:val="28"/>
            <w:u w:val="none"/>
          </w:rPr>
          <w:t>кодексом</w:t>
        </w:r>
      </w:hyperlink>
      <w:r w:rsidRPr="00AF3750">
        <w:rPr>
          <w:color w:val="000000"/>
          <w:sz w:val="28"/>
          <w:szCs w:val="28"/>
        </w:rPr>
        <w:t> Российской Федерации </w:t>
      </w:r>
      <w:hyperlink r:id="rId10" w:history="1">
        <w:r w:rsidRPr="00AF3750">
          <w:rPr>
            <w:rStyle w:val="a4"/>
            <w:color w:val="0026FF"/>
            <w:sz w:val="28"/>
            <w:szCs w:val="28"/>
            <w:u w:val="none"/>
          </w:rPr>
          <w:t>(пункт 2 статьи 399)</w:t>
        </w:r>
      </w:hyperlink>
      <w:r w:rsidRPr="00AF3750">
        <w:rPr>
          <w:color w:val="000000"/>
          <w:sz w:val="28"/>
          <w:szCs w:val="28"/>
        </w:rPr>
        <w:t>.</w:t>
      </w:r>
      <w:r w:rsidRPr="00AF3750">
        <w:rPr>
          <w:color w:val="000000"/>
          <w:sz w:val="28"/>
          <w:szCs w:val="28"/>
        </w:rPr>
        <w:br/>
      </w:r>
      <w:r w:rsidRPr="00AF3750">
        <w:rPr>
          <w:color w:val="000000"/>
          <w:sz w:val="28"/>
          <w:szCs w:val="28"/>
        </w:rPr>
        <w:br/>
        <w:t>Законом Еврейской автономной области от 25.11.2015 № 824-ОЗ «Об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Еврейской автономной области» единой датой начала применения порядка определения налоговой базы</w:t>
      </w:r>
      <w:proofErr w:type="gramEnd"/>
      <w:r w:rsidRPr="00AF3750">
        <w:rPr>
          <w:color w:val="000000"/>
          <w:sz w:val="28"/>
          <w:szCs w:val="28"/>
        </w:rPr>
        <w:t xml:space="preserve"> по налогу на имущество физических лиц </w:t>
      </w:r>
      <w:proofErr w:type="gramStart"/>
      <w:r w:rsidRPr="00AF3750">
        <w:rPr>
          <w:color w:val="000000"/>
          <w:sz w:val="28"/>
          <w:szCs w:val="28"/>
        </w:rPr>
        <w:t>исходя из кадастровой стоимости объектов налогообложения на территории Еврейской автономной области установлено</w:t>
      </w:r>
      <w:proofErr w:type="gramEnd"/>
      <w:r w:rsidRPr="00AF3750">
        <w:rPr>
          <w:color w:val="000000"/>
          <w:sz w:val="28"/>
          <w:szCs w:val="28"/>
        </w:rPr>
        <w:t xml:space="preserve"> 1 января 2017 года. </w:t>
      </w:r>
      <w:r w:rsidRPr="00AF3750">
        <w:rPr>
          <w:color w:val="000000"/>
          <w:sz w:val="28"/>
          <w:szCs w:val="28"/>
        </w:rPr>
        <w:br/>
      </w:r>
      <w:r w:rsidRPr="00AF3750">
        <w:rPr>
          <w:color w:val="000000"/>
          <w:sz w:val="28"/>
          <w:szCs w:val="28"/>
        </w:rPr>
        <w:br/>
        <w:t>Следовательно, с 1 января 2017 года налоговая база в отношении объектов налогообложения будет определяться исходя из их кадастровой стоимости, за исключением случаев, предусмотренных пунктом 2 статьи 402 Налогового кодекса Российской Федерации.</w:t>
      </w:r>
      <w:r w:rsidRPr="00AF3750">
        <w:rPr>
          <w:color w:val="000000"/>
          <w:sz w:val="28"/>
          <w:szCs w:val="28"/>
        </w:rPr>
        <w:br/>
      </w:r>
      <w:r w:rsidRPr="00AF3750">
        <w:rPr>
          <w:color w:val="000000"/>
          <w:sz w:val="28"/>
          <w:szCs w:val="28"/>
        </w:rPr>
        <w:br/>
      </w:r>
      <w:proofErr w:type="gramStart"/>
      <w:r w:rsidRPr="00AF3750">
        <w:rPr>
          <w:color w:val="000000"/>
          <w:sz w:val="28"/>
          <w:szCs w:val="28"/>
        </w:rPr>
        <w:t>Согласно статьи</w:t>
      </w:r>
      <w:proofErr w:type="gramEnd"/>
      <w:r w:rsidRPr="00AF3750">
        <w:rPr>
          <w:color w:val="000000"/>
          <w:sz w:val="28"/>
          <w:szCs w:val="28"/>
        </w:rPr>
        <w:t xml:space="preserve"> 401 Налогового кодекса Российской Федерации объектом налогообложения признается расположенное в пределах муниципального образования следующее имущество:</w:t>
      </w:r>
      <w:r w:rsidRPr="00AF3750">
        <w:rPr>
          <w:color w:val="000000"/>
          <w:sz w:val="28"/>
          <w:szCs w:val="28"/>
        </w:rPr>
        <w:br/>
      </w:r>
      <w:r w:rsidRPr="00AF3750">
        <w:rPr>
          <w:color w:val="000000"/>
          <w:sz w:val="28"/>
          <w:szCs w:val="28"/>
        </w:rPr>
        <w:br/>
        <w:t>- жилой дом;</w:t>
      </w:r>
      <w:r w:rsidRPr="00AF3750">
        <w:rPr>
          <w:color w:val="000000"/>
          <w:sz w:val="28"/>
          <w:szCs w:val="28"/>
        </w:rPr>
        <w:br/>
      </w:r>
      <w:r w:rsidRPr="00AF3750">
        <w:rPr>
          <w:color w:val="000000"/>
          <w:sz w:val="28"/>
          <w:szCs w:val="28"/>
        </w:rPr>
        <w:br/>
        <w:t>- жилое помещение (квартира, комната);</w:t>
      </w:r>
      <w:r w:rsidRPr="00AF3750">
        <w:rPr>
          <w:color w:val="000000"/>
          <w:sz w:val="28"/>
          <w:szCs w:val="28"/>
        </w:rPr>
        <w:br/>
      </w:r>
      <w:r w:rsidRPr="00AF3750">
        <w:rPr>
          <w:color w:val="000000"/>
          <w:sz w:val="28"/>
          <w:szCs w:val="28"/>
        </w:rPr>
        <w:br/>
        <w:t xml:space="preserve">- гараж, </w:t>
      </w:r>
      <w:proofErr w:type="spellStart"/>
      <w:r w:rsidRPr="00AF3750">
        <w:rPr>
          <w:color w:val="000000"/>
          <w:sz w:val="28"/>
          <w:szCs w:val="28"/>
        </w:rPr>
        <w:t>машино-место</w:t>
      </w:r>
      <w:proofErr w:type="spellEnd"/>
      <w:r w:rsidRPr="00AF3750">
        <w:rPr>
          <w:color w:val="000000"/>
          <w:sz w:val="28"/>
          <w:szCs w:val="28"/>
        </w:rPr>
        <w:t>;</w:t>
      </w:r>
      <w:r w:rsidRPr="00AF3750">
        <w:rPr>
          <w:color w:val="000000"/>
          <w:sz w:val="28"/>
          <w:szCs w:val="28"/>
        </w:rPr>
        <w:br/>
      </w:r>
      <w:r w:rsidRPr="00AF3750">
        <w:rPr>
          <w:color w:val="000000"/>
          <w:sz w:val="28"/>
          <w:szCs w:val="28"/>
        </w:rPr>
        <w:br/>
        <w:t>- единый недвижимый комплекс;</w:t>
      </w:r>
      <w:r w:rsidRPr="00AF3750">
        <w:rPr>
          <w:color w:val="000000"/>
          <w:sz w:val="28"/>
          <w:szCs w:val="28"/>
        </w:rPr>
        <w:br/>
      </w:r>
      <w:r w:rsidRPr="00AF3750">
        <w:rPr>
          <w:color w:val="000000"/>
          <w:sz w:val="28"/>
          <w:szCs w:val="28"/>
        </w:rPr>
        <w:br/>
        <w:t>- объект незавершенного строительства;</w:t>
      </w:r>
      <w:r w:rsidRPr="00AF3750">
        <w:rPr>
          <w:color w:val="000000"/>
          <w:sz w:val="28"/>
          <w:szCs w:val="28"/>
        </w:rPr>
        <w:br/>
      </w:r>
      <w:r w:rsidRPr="00AF3750">
        <w:rPr>
          <w:color w:val="000000"/>
          <w:sz w:val="28"/>
          <w:szCs w:val="28"/>
        </w:rPr>
        <w:br/>
        <w:t>- иные здание, строение, сооружение, помещение.</w:t>
      </w:r>
      <w:r w:rsidRPr="00AF3750">
        <w:rPr>
          <w:color w:val="000000"/>
          <w:sz w:val="28"/>
          <w:szCs w:val="28"/>
        </w:rPr>
        <w:br/>
      </w:r>
      <w:r w:rsidRPr="00AF3750">
        <w:rPr>
          <w:color w:val="000000"/>
          <w:sz w:val="28"/>
          <w:szCs w:val="28"/>
        </w:rPr>
        <w:lastRenderedPageBreak/>
        <w:br/>
        <w:t>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 Не признается объектом налогообложения имущество, входящее в состав общего имущества многоквартирного дома.</w:t>
      </w:r>
      <w:r w:rsidRPr="00AF3750">
        <w:rPr>
          <w:color w:val="000000"/>
          <w:sz w:val="28"/>
          <w:szCs w:val="28"/>
        </w:rPr>
        <w:br/>
      </w:r>
      <w:r w:rsidRPr="00AF3750">
        <w:rPr>
          <w:color w:val="000000"/>
          <w:sz w:val="28"/>
          <w:szCs w:val="28"/>
        </w:rPr>
        <w:br/>
        <w:t>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 Налоговым кодексом Российской Федерации.</w:t>
      </w:r>
      <w:r w:rsidRPr="00AF3750">
        <w:rPr>
          <w:color w:val="000000"/>
          <w:sz w:val="28"/>
          <w:szCs w:val="28"/>
        </w:rPr>
        <w:br/>
      </w:r>
      <w:r w:rsidRPr="00AF3750">
        <w:rPr>
          <w:color w:val="000000"/>
          <w:sz w:val="28"/>
          <w:szCs w:val="28"/>
        </w:rPr>
        <w:br/>
        <w:t>Устанавливая налог, представительные органы муниципальных образований определяют налоговые ставки в пределах, установленных Налоговым кодексом Российской Федерации.</w:t>
      </w:r>
      <w:r w:rsidRPr="00AF3750">
        <w:rPr>
          <w:color w:val="000000"/>
          <w:sz w:val="28"/>
          <w:szCs w:val="28"/>
        </w:rPr>
        <w:br/>
      </w:r>
      <w:r w:rsidRPr="00AF3750">
        <w:rPr>
          <w:color w:val="000000"/>
          <w:sz w:val="28"/>
          <w:szCs w:val="28"/>
        </w:rPr>
        <w:br/>
      </w:r>
      <w:proofErr w:type="gramStart"/>
      <w:r w:rsidRPr="00AF3750">
        <w:rPr>
          <w:color w:val="000000"/>
          <w:sz w:val="28"/>
          <w:szCs w:val="28"/>
        </w:rPr>
        <w:t>В соответствии со статьей 406 Налогового кодекса Российской Федерации налоговые ставки устанавливаются в размерах, не превышающих:</w:t>
      </w:r>
      <w:r w:rsidRPr="00AF3750">
        <w:rPr>
          <w:color w:val="000000"/>
          <w:sz w:val="28"/>
          <w:szCs w:val="28"/>
        </w:rPr>
        <w:br/>
      </w:r>
      <w:r w:rsidRPr="00AF3750">
        <w:rPr>
          <w:color w:val="000000"/>
          <w:sz w:val="28"/>
          <w:szCs w:val="28"/>
        </w:rPr>
        <w:br/>
        <w:t>1) 0,1 - процента в отношении:</w:t>
      </w:r>
      <w:r w:rsidRPr="00AF3750">
        <w:rPr>
          <w:color w:val="000000"/>
          <w:sz w:val="28"/>
          <w:szCs w:val="28"/>
        </w:rPr>
        <w:br/>
      </w:r>
      <w:r w:rsidRPr="00AF3750">
        <w:rPr>
          <w:color w:val="000000"/>
          <w:sz w:val="28"/>
          <w:szCs w:val="28"/>
        </w:rPr>
        <w:br/>
        <w:t>жилых домов, жилых помещений;</w:t>
      </w:r>
      <w:r w:rsidRPr="00AF3750">
        <w:rPr>
          <w:color w:val="000000"/>
          <w:sz w:val="28"/>
          <w:szCs w:val="28"/>
        </w:rPr>
        <w:br/>
      </w:r>
      <w:r w:rsidRPr="00AF3750">
        <w:rPr>
          <w:color w:val="000000"/>
          <w:sz w:val="28"/>
          <w:szCs w:val="28"/>
        </w:rPr>
        <w:br/>
        <w:t>объектов незавершенного строительства в случае, если проектируемым назначением таких объектов является жилой дом;</w:t>
      </w:r>
      <w:r w:rsidRPr="00AF3750">
        <w:rPr>
          <w:color w:val="000000"/>
          <w:sz w:val="28"/>
          <w:szCs w:val="28"/>
        </w:rPr>
        <w:br/>
      </w:r>
      <w:r w:rsidRPr="00AF3750">
        <w:rPr>
          <w:color w:val="000000"/>
          <w:sz w:val="28"/>
          <w:szCs w:val="28"/>
        </w:rPr>
        <w:br/>
        <w:t>единых недвижимых комплексов, в состав которых входит хотя бы одно жилое помещение (жилой дом);</w:t>
      </w:r>
      <w:proofErr w:type="gramEnd"/>
      <w:r w:rsidRPr="00AF3750">
        <w:rPr>
          <w:color w:val="000000"/>
          <w:sz w:val="28"/>
          <w:szCs w:val="28"/>
        </w:rPr>
        <w:br/>
      </w:r>
      <w:r w:rsidRPr="00AF3750">
        <w:rPr>
          <w:color w:val="000000"/>
          <w:sz w:val="28"/>
          <w:szCs w:val="28"/>
        </w:rPr>
        <w:br/>
        <w:t xml:space="preserve">гаражей и </w:t>
      </w:r>
      <w:proofErr w:type="spellStart"/>
      <w:r w:rsidRPr="00AF3750">
        <w:rPr>
          <w:color w:val="000000"/>
          <w:sz w:val="28"/>
          <w:szCs w:val="28"/>
        </w:rPr>
        <w:t>машино-мест</w:t>
      </w:r>
      <w:proofErr w:type="spellEnd"/>
      <w:r w:rsidRPr="00AF3750">
        <w:rPr>
          <w:color w:val="000000"/>
          <w:sz w:val="28"/>
          <w:szCs w:val="28"/>
        </w:rPr>
        <w:t>;</w:t>
      </w:r>
      <w:r w:rsidRPr="00AF3750">
        <w:rPr>
          <w:color w:val="000000"/>
          <w:sz w:val="28"/>
          <w:szCs w:val="28"/>
        </w:rPr>
        <w:br/>
      </w:r>
      <w:r w:rsidRPr="00AF3750">
        <w:rPr>
          <w:color w:val="000000"/>
          <w:sz w:val="28"/>
          <w:szCs w:val="28"/>
        </w:rPr>
        <w:b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r w:rsidRPr="00AF3750">
        <w:rPr>
          <w:color w:val="000000"/>
          <w:sz w:val="28"/>
          <w:szCs w:val="28"/>
        </w:rPr>
        <w:br/>
      </w:r>
      <w:r w:rsidRPr="00AF3750">
        <w:rPr>
          <w:color w:val="000000"/>
          <w:sz w:val="28"/>
          <w:szCs w:val="28"/>
        </w:rPr>
        <w:br/>
        <w:t>2) 2 –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r w:rsidRPr="00AF3750">
        <w:rPr>
          <w:color w:val="000000"/>
          <w:sz w:val="28"/>
          <w:szCs w:val="28"/>
        </w:rPr>
        <w:br/>
      </w:r>
      <w:r w:rsidRPr="00AF3750">
        <w:rPr>
          <w:color w:val="000000"/>
          <w:sz w:val="28"/>
          <w:szCs w:val="28"/>
        </w:rPr>
        <w:br/>
        <w:t>3) 0,5 – процента в отношении прочих объектов налогообложения. </w:t>
      </w:r>
      <w:r w:rsidRPr="00AF3750">
        <w:rPr>
          <w:color w:val="000000"/>
          <w:sz w:val="28"/>
          <w:szCs w:val="28"/>
        </w:rPr>
        <w:br/>
      </w:r>
      <w:r w:rsidRPr="00AF3750">
        <w:rPr>
          <w:color w:val="000000"/>
          <w:sz w:val="28"/>
          <w:szCs w:val="28"/>
        </w:rPr>
        <w:lastRenderedPageBreak/>
        <w:br/>
        <w:t xml:space="preserve">Налоговая ставка в размере 0,1 % не является </w:t>
      </w:r>
      <w:proofErr w:type="gramStart"/>
      <w:r w:rsidRPr="00AF3750">
        <w:rPr>
          <w:color w:val="000000"/>
          <w:sz w:val="28"/>
          <w:szCs w:val="28"/>
        </w:rPr>
        <w:t>фиксированной</w:t>
      </w:r>
      <w:proofErr w:type="gramEnd"/>
      <w:r w:rsidRPr="00AF3750">
        <w:rPr>
          <w:color w:val="000000"/>
          <w:sz w:val="28"/>
          <w:szCs w:val="28"/>
        </w:rPr>
        <w:t xml:space="preserve">. Она может </w:t>
      </w:r>
      <w:proofErr w:type="gramStart"/>
      <w:r w:rsidRPr="00AF3750">
        <w:rPr>
          <w:color w:val="000000"/>
          <w:sz w:val="28"/>
          <w:szCs w:val="28"/>
        </w:rPr>
        <w:t>быть</w:t>
      </w:r>
      <w:proofErr w:type="gramEnd"/>
      <w:r w:rsidRPr="00AF3750">
        <w:rPr>
          <w:color w:val="000000"/>
          <w:sz w:val="28"/>
          <w:szCs w:val="28"/>
        </w:rPr>
        <w:t xml:space="preserve"> как уменьшена до нуля, так и увеличена до 0,3 % нормативными правовыми актами представительных органов муниципальных образований (п. 3 ст. 406 НК РФ).</w:t>
      </w:r>
      <w:r w:rsidRPr="00AF3750">
        <w:rPr>
          <w:color w:val="000000"/>
          <w:sz w:val="28"/>
          <w:szCs w:val="28"/>
        </w:rPr>
        <w:br/>
      </w:r>
      <w:r w:rsidRPr="00AF3750">
        <w:rPr>
          <w:color w:val="000000"/>
          <w:sz w:val="28"/>
          <w:szCs w:val="28"/>
        </w:rPr>
        <w:br/>
        <w:t>Две другие базовые налоговые ставки являются максимальными, и местное законодательство их может только уменьшать.</w:t>
      </w:r>
      <w:r w:rsidRPr="00AF3750">
        <w:rPr>
          <w:color w:val="000000"/>
          <w:sz w:val="28"/>
          <w:szCs w:val="28"/>
        </w:rPr>
        <w:br/>
      </w:r>
      <w:r w:rsidRPr="00AF3750">
        <w:rPr>
          <w:color w:val="000000"/>
          <w:sz w:val="28"/>
          <w:szCs w:val="28"/>
        </w:rPr>
        <w:br/>
        <w:t>В силу положений </w:t>
      </w:r>
      <w:hyperlink r:id="rId11" w:history="1">
        <w:r w:rsidRPr="00AF3750">
          <w:rPr>
            <w:rStyle w:val="a4"/>
            <w:color w:val="0026FF"/>
            <w:sz w:val="28"/>
            <w:szCs w:val="28"/>
            <w:u w:val="none"/>
          </w:rPr>
          <w:t>статьи 406</w:t>
        </w:r>
      </w:hyperlink>
      <w:r>
        <w:rPr>
          <w:color w:val="000000"/>
          <w:sz w:val="28"/>
          <w:szCs w:val="28"/>
        </w:rPr>
        <w:t xml:space="preserve"> </w:t>
      </w:r>
      <w:r w:rsidRPr="00AF3750">
        <w:rPr>
          <w:color w:val="000000"/>
          <w:sz w:val="28"/>
          <w:szCs w:val="28"/>
        </w:rPr>
        <w:t>НК РФ представительные органы муниципальных образований вправе в рамках установленных пределов уменьшать (увеличивать) базовый размер налоговой ставки по налогу на имущество физических лиц, а также устанавливать дифференцированные налоговые ставки. Такое регулирование согласуется с основными началами законодательства о налогах и сборах, зависит от специфики конкретного объекта налогообложения и обусловлено как экономическими, социальными и иными особенностями отдельных муниципальных образований, так и фактической способностью налогоплательщика к уплате налогов (</w:t>
      </w:r>
      <w:hyperlink r:id="rId12" w:history="1">
        <w:r w:rsidRPr="00AF3750">
          <w:rPr>
            <w:rStyle w:val="a4"/>
            <w:color w:val="0026FF"/>
            <w:sz w:val="28"/>
            <w:szCs w:val="28"/>
            <w:u w:val="none"/>
          </w:rPr>
          <w:t>пункт 1 статьи 3</w:t>
        </w:r>
      </w:hyperlink>
      <w:r w:rsidRPr="00AF3750">
        <w:rPr>
          <w:color w:val="000000"/>
          <w:sz w:val="28"/>
          <w:szCs w:val="28"/>
        </w:rPr>
        <w:t> Налогового кодекса Российской Федерации).</w:t>
      </w:r>
      <w:r w:rsidRPr="00AF3750">
        <w:rPr>
          <w:color w:val="000000"/>
          <w:sz w:val="28"/>
          <w:szCs w:val="28"/>
        </w:rPr>
        <w:br/>
      </w:r>
      <w:r w:rsidRPr="00AF3750">
        <w:rPr>
          <w:color w:val="000000"/>
          <w:sz w:val="28"/>
          <w:szCs w:val="28"/>
        </w:rPr>
        <w:br/>
        <w:t>В соответствии с п. 1 ст. 5 НК РФ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r w:rsidRPr="00AF3750">
        <w:rPr>
          <w:color w:val="000000"/>
          <w:sz w:val="28"/>
          <w:szCs w:val="28"/>
        </w:rPr>
        <w:br/>
      </w:r>
      <w:r w:rsidRPr="00AF3750">
        <w:rPr>
          <w:color w:val="000000"/>
          <w:sz w:val="28"/>
          <w:szCs w:val="28"/>
        </w:rPr>
        <w:br/>
      </w:r>
    </w:p>
    <w:p w:rsidR="00AF3750" w:rsidRPr="00AF3750" w:rsidRDefault="00AF3750">
      <w:pPr>
        <w:rPr>
          <w:rFonts w:ascii="Times New Roman" w:hAnsi="Times New Roman" w:cs="Times New Roman"/>
          <w:sz w:val="28"/>
          <w:szCs w:val="28"/>
        </w:rPr>
      </w:pPr>
    </w:p>
    <w:sectPr w:rsidR="00AF3750" w:rsidRPr="00AF3750" w:rsidSect="00AF7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3750"/>
    <w:rsid w:val="00AF3750"/>
    <w:rsid w:val="00AF75C4"/>
    <w:rsid w:val="00C7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3750"/>
    <w:rPr>
      <w:color w:val="0000FF"/>
      <w:u w:val="single"/>
    </w:rPr>
  </w:style>
</w:styles>
</file>

<file path=word/webSettings.xml><?xml version="1.0" encoding="utf-8"?>
<w:webSettings xmlns:r="http://schemas.openxmlformats.org/officeDocument/2006/relationships" xmlns:w="http://schemas.openxmlformats.org/wordprocessingml/2006/main">
  <w:divs>
    <w:div w:id="16823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A065744C0A18FB6C6D04C4787F73EA00E743BF57BC088D9B4047285A5D9F3DE626F32DC5717RAa1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3A065744C0A18FB6C6D04C4787F73EA00E743BF57BC088D9B4047285A5D9F3DE626F32DC5717RAaFI" TargetMode="External"/><Relationship Id="rId12" Type="http://schemas.openxmlformats.org/officeDocument/2006/relationships/hyperlink" Target="consultantplus://offline/ref=1EDE82FE5ACE38FBDF0FAE5075649F0F1ED84DC3461DAAE2FF6ACFC55D0FFE710F0CB640885C6ED5yDa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3A065744C0A18FB6C6D04C4787F73EA0017F33F77AC088D9B4047285RAa5I" TargetMode="External"/><Relationship Id="rId11" Type="http://schemas.openxmlformats.org/officeDocument/2006/relationships/hyperlink" Target="consultantplus://offline/ref=1EDE82FE5ACE38FBDF0FAE5075649F0F1ED746CB441CAAE2FF6ACFC55D0FFE710F0CB640885F6ByDa1I" TargetMode="External"/><Relationship Id="rId5" Type="http://schemas.openxmlformats.org/officeDocument/2006/relationships/hyperlink" Target="consultantplus://offline/ref=813A065744C0A18FB6C6D04C4787F73EA0017F33F77AC088D9B4047285A5D9F3DE626F30DE53R1a1I" TargetMode="External"/><Relationship Id="rId10" Type="http://schemas.openxmlformats.org/officeDocument/2006/relationships/hyperlink" Target="consultantplus://offline/ref=813A065744C0A18FB6C6D04C4787F73EA00E743BF57BC088D9B4047285A5D9F3DE626F32DC5714RAa9I" TargetMode="External"/><Relationship Id="rId4" Type="http://schemas.openxmlformats.org/officeDocument/2006/relationships/hyperlink" Target="consultantplus://offline/ref=813A065744C0A18FB6C6D04C4787F73EA0017F33F77AC088D9B4047285RAa5I" TargetMode="External"/><Relationship Id="rId9" Type="http://schemas.openxmlformats.org/officeDocument/2006/relationships/hyperlink" Target="consultantplus://offline/ref=813A065744C0A18FB6C6D04C4787F73EA0017F33F77AC088D9B4047285RAa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Company>Microsoft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2017-12-28T05:46:00Z</dcterms:created>
  <dcterms:modified xsi:type="dcterms:W3CDTF">2017-12-28T05:46:00Z</dcterms:modified>
</cp:coreProperties>
</file>