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rPr>
          <w:color w:val="000000" w:themeColor="text1"/>
        </w:rPr>
      </w:pPr>
      <w:r w:rsidRPr="00514ABB">
        <w:rPr>
          <w:color w:val="000000" w:themeColor="text1"/>
        </w:rPr>
        <w:tab/>
      </w:r>
      <w:r w:rsidRPr="00514ABB">
        <w:rPr>
          <w:color w:val="000000" w:themeColor="text1"/>
        </w:rPr>
        <w:tab/>
        <w:t xml:space="preserve">           </w:t>
      </w:r>
      <w:r w:rsidRPr="00514ABB">
        <w:rPr>
          <w:color w:val="000000" w:themeColor="text1"/>
        </w:rPr>
        <w:tab/>
        <w:t xml:space="preserve">  </w:t>
      </w:r>
      <w:r w:rsidRPr="00514ABB">
        <w:rPr>
          <w:color w:val="000000" w:themeColor="text1"/>
        </w:rPr>
        <w:tab/>
      </w:r>
      <w:r w:rsidRPr="00514ABB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514ABB">
        <w:rPr>
          <w:color w:val="000000" w:themeColor="text1"/>
        </w:rPr>
        <w:t xml:space="preserve">№ 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D35863" w:rsidP="00D35863">
      <w:pPr>
        <w:jc w:val="both"/>
        <w:outlineLvl w:val="0"/>
        <w:rPr>
          <w:color w:val="000000" w:themeColor="text1"/>
          <w:kern w:val="32"/>
        </w:rPr>
      </w:pPr>
      <w:proofErr w:type="gramStart"/>
      <w:r>
        <w:rPr>
          <w:color w:val="000000" w:themeColor="text1"/>
        </w:rPr>
        <w:t>О внесении изменения в реестр мест (площадок) накопления твердых коммунальных отходов на территории муниципального образования «Приамурское городское поселение», утвержденные постановлением администрацией городского поселения от 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  <w:proofErr w:type="gramEnd"/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proofErr w:type="gramStart"/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>),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</w:t>
      </w:r>
      <w:proofErr w:type="gramEnd"/>
      <w:r w:rsidRPr="00514ABB">
        <w:rPr>
          <w:color w:val="000000" w:themeColor="text1"/>
          <w:kern w:val="32"/>
        </w:rPr>
        <w:t xml:space="preserve"> </w:t>
      </w:r>
      <w:proofErr w:type="gramStart"/>
      <w:r w:rsidRPr="00514ABB">
        <w:rPr>
          <w:color w:val="000000" w:themeColor="text1"/>
          <w:kern w:val="32"/>
        </w:rPr>
        <w:t>от 12.11.2016 № 1156 «Об обращении 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 автономной области «Об утверждении Порядка накопления твердых коммунальных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 «Приамурское городское поселение» администрация  городского поселения</w:t>
      </w:r>
      <w:proofErr w:type="gramEnd"/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D35863" w:rsidRDefault="00D35863" w:rsidP="00D35863">
      <w:pPr>
        <w:shd w:val="clear" w:color="auto" w:fill="FFFFFF"/>
        <w:tabs>
          <w:tab w:val="left" w:pos="1349"/>
        </w:tabs>
        <w:ind w:firstLine="709"/>
        <w:jc w:val="both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 реестр мест (площадок) накопления твердых коммунальных отходов на территории муниципального образования «Приамурское городское поселение», утвержденные постановление администрации городского поселения № 94 от 21.02.2019 г. Изложив их в редакции, согласно приложению к настоящему постановлению.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D35863" w:rsidP="00D35863">
      <w:pPr>
        <w:jc w:val="both"/>
        <w:rPr>
          <w:color w:val="000000" w:themeColor="text1"/>
        </w:rPr>
      </w:pPr>
      <w:r>
        <w:rPr>
          <w:color w:val="000000" w:themeColor="text1"/>
        </w:rPr>
        <w:t>Глава администрации</w:t>
      </w:r>
    </w:p>
    <w:p w:rsidR="00D35863" w:rsidRPr="00514ABB" w:rsidRDefault="00D35863" w:rsidP="00D358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Городского поселения                                   </w:t>
      </w: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D35863" w:rsidRPr="00514ABB" w:rsidRDefault="00D35863" w:rsidP="00D35863">
      <w:pPr>
        <w:rPr>
          <w:color w:val="000000" w:themeColor="text1"/>
        </w:rPr>
      </w:pPr>
      <w:r w:rsidRPr="00514ABB">
        <w:rPr>
          <w:color w:val="000000" w:themeColor="text1"/>
        </w:rPr>
        <w:t>Специалист отдела Жилищно-коммунального хозяйства, дорожного хозяйства, транспорта, связи, благоустройства администрации Приамурского городского поселения</w:t>
      </w:r>
    </w:p>
    <w:p w:rsidR="00D35863" w:rsidRPr="00514ABB" w:rsidRDefault="00D35863" w:rsidP="00D35863">
      <w:pPr>
        <w:rPr>
          <w:color w:val="000000" w:themeColor="text1"/>
        </w:rPr>
      </w:pPr>
    </w:p>
    <w:p w:rsidR="00D35863" w:rsidRPr="00514ABB" w:rsidRDefault="00D35863" w:rsidP="00D35863">
      <w:pPr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Pr="00514ABB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А.С. Симонов          </w:t>
      </w: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E631CA" w:rsidRDefault="00D35863" w:rsidP="00D35863">
      <w:pPr>
        <w:ind w:left="1985"/>
        <w:rPr>
          <w:color w:val="000000" w:themeColor="text1"/>
        </w:rPr>
      </w:pPr>
      <w:r>
        <w:rPr>
          <w:color w:val="000000" w:themeColor="text1"/>
        </w:rPr>
        <w:t>Ю.В. Паксина</w:t>
      </w: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Default="00A26C5A" w:rsidP="00A26C5A">
      <w:pPr>
        <w:autoSpaceDE w:val="0"/>
        <w:autoSpaceDN w:val="0"/>
        <w:adjustRightInd w:val="0"/>
        <w:ind w:left="10632"/>
        <w:jc w:val="right"/>
        <w:rPr>
          <w:color w:val="000000" w:themeColor="text1"/>
        </w:rPr>
      </w:pPr>
      <w:r>
        <w:rPr>
          <w:color w:val="000000" w:themeColor="text1"/>
        </w:rPr>
        <w:t>Приложение</w:t>
      </w:r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21"/>
        <w:gridCol w:w="2409"/>
        <w:gridCol w:w="1610"/>
        <w:gridCol w:w="1726"/>
        <w:gridCol w:w="1767"/>
        <w:gridCol w:w="4120"/>
        <w:gridCol w:w="2322"/>
      </w:tblGrid>
      <w:tr w:rsidR="00792BB5" w:rsidRPr="00792BB5" w:rsidTr="00DF7F83">
        <w:trPr>
          <w:trHeight w:val="600"/>
        </w:trPr>
        <w:tc>
          <w:tcPr>
            <w:tcW w:w="821" w:type="dxa"/>
            <w:vMerge w:val="restart"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№</w:t>
            </w:r>
            <w:proofErr w:type="gramStart"/>
            <w:r w:rsidRPr="00792BB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92BB5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103" w:type="dxa"/>
            <w:gridSpan w:val="3"/>
            <w:shd w:val="clear" w:color="auto" w:fill="FFFFFF" w:themeFill="background1"/>
          </w:tcPr>
          <w:p w:rsidR="006125E6" w:rsidRPr="00792BB5" w:rsidRDefault="006125E6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</w:t>
            </w:r>
            <w:bookmarkStart w:id="0" w:name="_GoBack"/>
            <w:bookmarkEnd w:id="0"/>
            <w:r w:rsidRPr="00792BB5">
              <w:rPr>
                <w:color w:val="000000" w:themeColor="text1"/>
                <w:sz w:val="22"/>
                <w:szCs w:val="22"/>
              </w:rPr>
              <w:t>ия ТКО</w:t>
            </w:r>
          </w:p>
        </w:tc>
        <w:tc>
          <w:tcPr>
            <w:tcW w:w="4120" w:type="dxa"/>
            <w:vMerge w:val="restart"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322" w:type="dxa"/>
            <w:vMerge w:val="restart"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792BB5" w:rsidTr="00DF7F83">
        <w:trPr>
          <w:trHeight w:val="495"/>
        </w:trPr>
        <w:tc>
          <w:tcPr>
            <w:tcW w:w="821" w:type="dxa"/>
            <w:vMerge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203837" w:rsidRPr="00792BB5" w:rsidRDefault="00BD401D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792BB5">
              <w:rPr>
                <w:color w:val="000000" w:themeColor="text1"/>
                <w:sz w:val="22"/>
                <w:szCs w:val="22"/>
              </w:rPr>
              <w:t>окрыти</w:t>
            </w:r>
            <w:r w:rsidRPr="00792BB5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792BB5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792BB5" w:rsidRDefault="00BD401D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</w:tcPr>
          <w:p w:rsidR="006125E6" w:rsidRPr="00792BB5" w:rsidRDefault="006125E6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792BB5">
              <w:rPr>
                <w:color w:val="000000" w:themeColor="text1"/>
                <w:sz w:val="22"/>
                <w:szCs w:val="22"/>
              </w:rPr>
              <w:t>ичест</w:t>
            </w:r>
            <w:r w:rsidRPr="00792BB5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792BB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792B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120" w:type="dxa"/>
            <w:vMerge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FFFFFF" w:themeFill="background1"/>
          </w:tcPr>
          <w:p w:rsidR="006125E6" w:rsidRPr="00792BB5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52190E" w:rsidTr="005746E4">
        <w:trPr>
          <w:trHeight w:val="2058"/>
        </w:trPr>
        <w:tc>
          <w:tcPr>
            <w:tcW w:w="821" w:type="dxa"/>
            <w:shd w:val="clear" w:color="auto" w:fill="FFFFFF" w:themeFill="background1"/>
          </w:tcPr>
          <w:p w:rsidR="0052190E" w:rsidRPr="0052190E" w:rsidRDefault="0052190E" w:rsidP="0052190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52190E" w:rsidRDefault="0052190E" w:rsidP="005219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190E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52190E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52190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52190E" w:rsidRPr="0052190E" w:rsidRDefault="0052190E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190E">
              <w:rPr>
                <w:b/>
                <w:color w:val="000000" w:themeColor="text1"/>
                <w:sz w:val="22"/>
                <w:szCs w:val="22"/>
              </w:rPr>
              <w:t>ул. Амурская, д. 7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52190E" w:rsidRDefault="0052190E" w:rsidP="0052190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190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48.52790741009814;</w:t>
            </w:r>
          </w:p>
          <w:p w:rsidR="00BA6B69" w:rsidRPr="005746E4" w:rsidRDefault="005746E4" w:rsidP="005746E4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134.8993908939896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52190E" w:rsidRDefault="0052190E" w:rsidP="005219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52190E" w:rsidRDefault="000157AF" w:rsidP="0052190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52190E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0157AF" w:rsidRPr="000157AF" w:rsidRDefault="000157AF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14ABB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190E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52190E">
              <w:rPr>
                <w:color w:val="000000" w:themeColor="text1"/>
                <w:sz w:val="22"/>
                <w:szCs w:val="22"/>
              </w:rPr>
              <w:t>. 1,3,5,7</w:t>
            </w:r>
          </w:p>
          <w:p w:rsidR="00514ABB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190E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52190E">
              <w:rPr>
                <w:color w:val="000000" w:themeColor="text1"/>
                <w:sz w:val="22"/>
                <w:szCs w:val="22"/>
              </w:rPr>
              <w:t>. 27, 29, 31, 33,</w:t>
            </w:r>
          </w:p>
          <w:p w:rsidR="0052190E" w:rsidRP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190E">
              <w:rPr>
                <w:color w:val="000000" w:themeColor="text1"/>
                <w:sz w:val="22"/>
                <w:szCs w:val="22"/>
              </w:rPr>
              <w:t>ул. Юбилейная</w:t>
            </w:r>
          </w:p>
        </w:tc>
      </w:tr>
      <w:tr w:rsidR="00792BB5" w:rsidRPr="00792BB5" w:rsidTr="005746E4">
        <w:trPr>
          <w:trHeight w:val="1974"/>
        </w:trPr>
        <w:tc>
          <w:tcPr>
            <w:tcW w:w="821" w:type="dxa"/>
            <w:shd w:val="clear" w:color="auto" w:fill="FFFFFF" w:themeFill="background1"/>
          </w:tcPr>
          <w:p w:rsidR="0052190E" w:rsidRPr="00792BB5" w:rsidRDefault="0052190E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792BB5" w:rsidRDefault="0052190E" w:rsidP="005219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д. 10 </w:t>
            </w:r>
          </w:p>
          <w:p w:rsidR="0052190E" w:rsidRPr="00792BB5" w:rsidRDefault="0052190E" w:rsidP="00BA6B69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792BB5" w:rsidRDefault="0052190E" w:rsidP="0052190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BA6B69" w:rsidRPr="005746E4" w:rsidRDefault="0052190E" w:rsidP="005746E4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792BB5" w:rsidRDefault="0052190E" w:rsidP="005219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52190E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2190E" w:rsidRPr="00792BB5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792BB5" w:rsidRPr="00792BB5" w:rsidTr="005746E4">
        <w:trPr>
          <w:trHeight w:val="2823"/>
        </w:trPr>
        <w:tc>
          <w:tcPr>
            <w:tcW w:w="821" w:type="dxa"/>
            <w:shd w:val="clear" w:color="auto" w:fill="FFFFFF" w:themeFill="background1"/>
          </w:tcPr>
          <w:p w:rsidR="00BA6B69" w:rsidRPr="00792BB5" w:rsidRDefault="00BA6B69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BA6B69" w:rsidRPr="00792BB5" w:rsidRDefault="00BA6B69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792BB5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792BB5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232AEF" w:rsidRDefault="00BA6B69" w:rsidP="00232AE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BA6B69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14ABB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792BB5" w:rsidRPr="00792BB5" w:rsidTr="005746E4">
        <w:trPr>
          <w:trHeight w:val="2395"/>
        </w:trPr>
        <w:tc>
          <w:tcPr>
            <w:tcW w:w="821" w:type="dxa"/>
            <w:shd w:val="clear" w:color="auto" w:fill="FFFFFF" w:themeFill="background1"/>
          </w:tcPr>
          <w:p w:rsidR="00BA6B69" w:rsidRPr="00792BB5" w:rsidRDefault="00BA6B69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BA6B69" w:rsidRPr="00792BB5" w:rsidRDefault="00BA6B69" w:rsidP="00BA6B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BA6B69" w:rsidRPr="00792BB5" w:rsidRDefault="00BA6B69" w:rsidP="00BA6B69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232AEF" w:rsidRDefault="00BA6B69" w:rsidP="00232AE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BA6B69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792BB5" w:rsidRPr="00792BB5" w:rsidTr="00A26C5A">
        <w:trPr>
          <w:trHeight w:val="2131"/>
        </w:trPr>
        <w:tc>
          <w:tcPr>
            <w:tcW w:w="821" w:type="dxa"/>
            <w:shd w:val="clear" w:color="auto" w:fill="FFFFFF" w:themeFill="background1"/>
          </w:tcPr>
          <w:p w:rsidR="0052190E" w:rsidRPr="00792BB5" w:rsidRDefault="0052190E" w:rsidP="00BA6B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792BB5" w:rsidRDefault="0052190E" w:rsidP="00B2791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52190E" w:rsidRPr="00792BB5" w:rsidRDefault="0052190E" w:rsidP="00BA6B69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52190E" w:rsidRPr="00792BB5" w:rsidRDefault="0052190E" w:rsidP="00B714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5746E4" w:rsidRDefault="0052190E" w:rsidP="005746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48.52</w:t>
            </w:r>
            <w:r w:rsidR="005746E4">
              <w:rPr>
                <w:color w:val="000000" w:themeColor="text1"/>
                <w:sz w:val="22"/>
                <w:szCs w:val="22"/>
              </w:rPr>
              <w:t>633961504964; 134.9013059912270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792BB5" w:rsidRDefault="0052190E" w:rsidP="00B2791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52190E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14ABB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Дзержинского </w:t>
            </w:r>
          </w:p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1-3,</w:t>
            </w:r>
          </w:p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52190E" w:rsidRPr="00792BB5" w:rsidRDefault="0052190E" w:rsidP="00B279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792BB5" w:rsidRPr="00792BB5" w:rsidTr="00A26C5A">
        <w:trPr>
          <w:trHeight w:val="2389"/>
        </w:trPr>
        <w:tc>
          <w:tcPr>
            <w:tcW w:w="821" w:type="dxa"/>
            <w:shd w:val="clear" w:color="auto" w:fill="FFFFFF" w:themeFill="background1"/>
          </w:tcPr>
          <w:p w:rsidR="00BA6B69" w:rsidRPr="00792BB5" w:rsidRDefault="00BA6B69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BA6B69" w:rsidRPr="00792BB5" w:rsidRDefault="00BA6B69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A26C5A" w:rsidRDefault="00BA6B69" w:rsidP="00A26C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BA6B69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14ABB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792BB5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792BB5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792BB5" w:rsidRPr="00792BB5" w:rsidTr="00A26C5A">
        <w:trPr>
          <w:trHeight w:val="2256"/>
        </w:trPr>
        <w:tc>
          <w:tcPr>
            <w:tcW w:w="821" w:type="dxa"/>
            <w:shd w:val="clear" w:color="auto" w:fill="FFFFFF" w:themeFill="background1"/>
          </w:tcPr>
          <w:p w:rsidR="00BA6B69" w:rsidRPr="00792BB5" w:rsidRDefault="00BA6B69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BA6B69" w:rsidRPr="00792BB5" w:rsidRDefault="00BA6B69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возле дороги между домами 3,5 по ул. Дзержинского 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A6B69" w:rsidRPr="00792BB5" w:rsidRDefault="00BA6B69" w:rsidP="00BA6B6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48.52722328870088; </w:t>
            </w:r>
          </w:p>
          <w:p w:rsidR="004A6E46" w:rsidRPr="00A26C5A" w:rsidRDefault="00BA6B69" w:rsidP="00A26C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134.90196581464093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A6B69" w:rsidRPr="00792BB5" w:rsidRDefault="00BA6B69" w:rsidP="00BA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BA6B69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14ABB" w:rsidRDefault="00BA6B69" w:rsidP="00461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514ABB" w:rsidRDefault="00BA6B69" w:rsidP="0046118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461187" w:rsidRPr="00792BB5">
              <w:rPr>
                <w:color w:val="000000" w:themeColor="text1"/>
                <w:sz w:val="22"/>
                <w:szCs w:val="22"/>
              </w:rPr>
              <w:t xml:space="preserve">3,5, </w:t>
            </w:r>
          </w:p>
          <w:p w:rsidR="00514ABB" w:rsidRDefault="00461187" w:rsidP="00461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Островского, </w:t>
            </w:r>
          </w:p>
          <w:p w:rsidR="00BA6B69" w:rsidRPr="00792BB5" w:rsidRDefault="00461187" w:rsidP="00461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д. 16 «А»</w:t>
            </w:r>
          </w:p>
        </w:tc>
      </w:tr>
      <w:tr w:rsidR="00792BB5" w:rsidRPr="00792BB5" w:rsidTr="00A26C5A">
        <w:trPr>
          <w:trHeight w:val="2259"/>
        </w:trPr>
        <w:tc>
          <w:tcPr>
            <w:tcW w:w="821" w:type="dxa"/>
            <w:shd w:val="clear" w:color="auto" w:fill="FFFFFF" w:themeFill="background1"/>
          </w:tcPr>
          <w:p w:rsidR="0052190E" w:rsidRPr="00792BB5" w:rsidRDefault="0052190E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792BB5" w:rsidRDefault="0052190E" w:rsidP="00E71B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52190E" w:rsidRPr="00792BB5" w:rsidRDefault="0052190E" w:rsidP="00BA6B69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A26C5A" w:rsidRDefault="0052190E" w:rsidP="00A26C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48.531381327031006; 134.90989442449137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792BB5" w:rsidRDefault="0052190E" w:rsidP="00E71BC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52190E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Молодежная, </w:t>
            </w:r>
          </w:p>
          <w:p w:rsidR="0052190E" w:rsidRPr="00792BB5" w:rsidRDefault="0052190E" w:rsidP="00E71B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792BB5" w:rsidRPr="00792BB5" w:rsidTr="00A26C5A">
        <w:trPr>
          <w:trHeight w:val="1980"/>
        </w:trPr>
        <w:tc>
          <w:tcPr>
            <w:tcW w:w="821" w:type="dxa"/>
            <w:shd w:val="clear" w:color="auto" w:fill="FFFFFF" w:themeFill="background1"/>
          </w:tcPr>
          <w:p w:rsidR="0052190E" w:rsidRPr="00792BB5" w:rsidRDefault="0052190E" w:rsidP="00BA6B6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792BB5" w:rsidRDefault="0052190E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домов </w:t>
            </w:r>
          </w:p>
          <w:p w:rsidR="0052190E" w:rsidRPr="00792BB5" w:rsidRDefault="0052190E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4A6E46" w:rsidRPr="00232AEF" w:rsidRDefault="0052190E" w:rsidP="00232AE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792BB5" w:rsidRDefault="0052190E" w:rsidP="006376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0157AF" w:rsidRDefault="000157AF" w:rsidP="000157AF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«УК СтройРазвитие»</w:t>
            </w:r>
          </w:p>
          <w:p w:rsidR="000157AF" w:rsidRDefault="000157AF" w:rsidP="000157AF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ОГРН 1192724003218</w:t>
            </w:r>
            <w:r>
              <w:rPr>
                <w:sz w:val="21"/>
                <w:szCs w:val="21"/>
                <w:shd w:val="clear" w:color="auto" w:fill="FFFFFF"/>
              </w:rPr>
              <w:t>, адрес:</w:t>
            </w:r>
          </w:p>
          <w:p w:rsidR="0052190E" w:rsidRPr="00792BB5" w:rsidRDefault="000157AF" w:rsidP="000157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7AF">
              <w:rPr>
                <w:sz w:val="21"/>
                <w:szCs w:val="21"/>
                <w:shd w:val="clear" w:color="auto" w:fill="FFFFFF"/>
              </w:rPr>
              <w:t>680054, Хабаровский край, город Хабаровск, Трехгорная улица, дом 56, квартира 124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Островского, </w:t>
            </w:r>
          </w:p>
          <w:p w:rsidR="0052190E" w:rsidRPr="00792BB5" w:rsidRDefault="0052190E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BC16B4" w:rsidRPr="00792BB5" w:rsidTr="00DF7F83">
        <w:trPr>
          <w:trHeight w:val="2252"/>
        </w:trPr>
        <w:tc>
          <w:tcPr>
            <w:tcW w:w="821" w:type="dxa"/>
            <w:shd w:val="clear" w:color="auto" w:fill="FFFFFF" w:themeFill="background1"/>
          </w:tcPr>
          <w:p w:rsidR="00BC16B4" w:rsidRPr="00792BB5" w:rsidRDefault="00BC16B4" w:rsidP="00BC16B4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92BB5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792BB5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792BB5">
              <w:rPr>
                <w:color w:val="000000" w:themeColor="text1"/>
                <w:sz w:val="22"/>
                <w:szCs w:val="22"/>
              </w:rPr>
              <w:t>им</w:t>
            </w:r>
            <w:proofErr w:type="gramEnd"/>
            <w:r w:rsidRPr="00792BB5">
              <w:rPr>
                <w:color w:val="000000" w:themeColor="text1"/>
                <w:sz w:val="22"/>
                <w:szCs w:val="22"/>
              </w:rPr>
              <w:t xml:space="preserve">. Тельмана, </w:t>
            </w:r>
          </w:p>
          <w:p w:rsidR="00BC16B4" w:rsidRPr="00792BB5" w:rsidRDefault="00BC16B4" w:rsidP="00BC16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BC16B4" w:rsidRPr="00792BB5" w:rsidRDefault="00BC16B4" w:rsidP="00BC16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 xml:space="preserve">ул. Школьная, </w:t>
            </w:r>
          </w:p>
          <w:p w:rsidR="00BC16B4" w:rsidRPr="00792BB5" w:rsidRDefault="00BC16B4" w:rsidP="00BC16B4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2BB5">
              <w:rPr>
                <w:b/>
                <w:color w:val="000000" w:themeColor="text1"/>
                <w:sz w:val="22"/>
                <w:szCs w:val="22"/>
              </w:rPr>
              <w:t>д. 2 «а»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C16B4" w:rsidRPr="00792BB5" w:rsidRDefault="00BC16B4" w:rsidP="00BC16B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A3E2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48.54244281793626</w:t>
            </w:r>
            <w:r w:rsidRPr="00792B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</w:t>
            </w:r>
          </w:p>
          <w:p w:rsidR="00BC16B4" w:rsidRPr="00A26C5A" w:rsidRDefault="00BC16B4" w:rsidP="00A26C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A3E2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134.97867431026208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C16B4" w:rsidRPr="00792BB5" w:rsidRDefault="00BC16B4" w:rsidP="00BC16B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>Управляющая компания Общество с ограниченной ответственностью «СВЕТОЧ»</w:t>
            </w:r>
            <w:r w:rsidRPr="00792BB5">
              <w:rPr>
                <w:color w:val="000000" w:themeColor="text1"/>
                <w:sz w:val="22"/>
                <w:szCs w:val="22"/>
              </w:rPr>
              <w:t xml:space="preserve">.  ОГРН </w:t>
            </w:r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1122721001193; </w:t>
            </w:r>
            <w:proofErr w:type="spellStart"/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телефон 8(42632)24-1-34; адрес: </w:t>
            </w:r>
            <w:proofErr w:type="gramStart"/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>Еврейская</w:t>
            </w:r>
            <w:proofErr w:type="gramEnd"/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АО, 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р-н. Смидовичский, п. Приамурский, 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  <w:shd w:val="clear" w:color="auto" w:fill="FFFFFF"/>
              </w:rPr>
              <w:t>ул. Островского, д. 16 «А»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 xml:space="preserve">ул. Школьная, 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92BB5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792BB5">
              <w:rPr>
                <w:color w:val="000000" w:themeColor="text1"/>
                <w:sz w:val="22"/>
                <w:szCs w:val="22"/>
              </w:rPr>
              <w:t xml:space="preserve">. 1 «А», 4 «А», </w:t>
            </w:r>
          </w:p>
          <w:p w:rsidR="00BC16B4" w:rsidRPr="00792BB5" w:rsidRDefault="00BC16B4" w:rsidP="00BC16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BB5">
              <w:rPr>
                <w:color w:val="000000" w:themeColor="text1"/>
                <w:sz w:val="22"/>
                <w:szCs w:val="22"/>
              </w:rPr>
              <w:t>4 «Б»</w:t>
            </w:r>
          </w:p>
        </w:tc>
      </w:tr>
    </w:tbl>
    <w:p w:rsidR="006125E6" w:rsidRPr="00792BB5" w:rsidRDefault="006125E6" w:rsidP="007474ED">
      <w:pPr>
        <w:rPr>
          <w:color w:val="000000" w:themeColor="text1"/>
          <w:sz w:val="22"/>
          <w:szCs w:val="22"/>
        </w:rPr>
      </w:pPr>
    </w:p>
    <w:sectPr w:rsidR="006125E6" w:rsidRPr="00792BB5" w:rsidSect="005746E4">
      <w:pgSz w:w="16838" w:h="11906" w:orient="landscape"/>
      <w:pgMar w:top="851" w:right="1134" w:bottom="851" w:left="1134" w:header="709" w:footer="3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4F" w:rsidRDefault="00002B4F">
      <w:r>
        <w:separator/>
      </w:r>
    </w:p>
  </w:endnote>
  <w:endnote w:type="continuationSeparator" w:id="0">
    <w:p w:rsidR="00002B4F" w:rsidRDefault="000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3" w:rsidRDefault="00D35863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863" w:rsidRDefault="00D358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3" w:rsidRDefault="00D35863" w:rsidP="00637679">
    <w:pPr>
      <w:pStyle w:val="a3"/>
      <w:framePr w:wrap="around" w:vAnchor="text" w:hAnchor="margin" w:xAlign="center" w:y="1"/>
      <w:rPr>
        <w:rStyle w:val="a5"/>
      </w:rPr>
    </w:pPr>
  </w:p>
  <w:p w:rsidR="00D35863" w:rsidRDefault="00D3586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EF" w:rsidRDefault="00232AEF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AEF" w:rsidRDefault="00232AE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EF" w:rsidRDefault="00232AEF" w:rsidP="00637679">
    <w:pPr>
      <w:pStyle w:val="a3"/>
      <w:framePr w:wrap="around" w:vAnchor="text" w:hAnchor="margin" w:xAlign="center" w:y="1"/>
      <w:rPr>
        <w:rStyle w:val="a5"/>
      </w:rPr>
    </w:pPr>
  </w:p>
  <w:p w:rsidR="00232AEF" w:rsidRDefault="00232A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4F" w:rsidRDefault="00002B4F">
      <w:r>
        <w:separator/>
      </w:r>
    </w:p>
  </w:footnote>
  <w:footnote w:type="continuationSeparator" w:id="0">
    <w:p w:rsidR="00002B4F" w:rsidRDefault="0000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02B4F"/>
    <w:rsid w:val="000157AF"/>
    <w:rsid w:val="000800D1"/>
    <w:rsid w:val="00087DF7"/>
    <w:rsid w:val="000D1DAC"/>
    <w:rsid w:val="000F4738"/>
    <w:rsid w:val="000F4E66"/>
    <w:rsid w:val="00130944"/>
    <w:rsid w:val="001647D8"/>
    <w:rsid w:val="00165F8E"/>
    <w:rsid w:val="001933DE"/>
    <w:rsid w:val="001A34EF"/>
    <w:rsid w:val="001A3E23"/>
    <w:rsid w:val="001E6302"/>
    <w:rsid w:val="00203837"/>
    <w:rsid w:val="00232AEF"/>
    <w:rsid w:val="00244F05"/>
    <w:rsid w:val="00272294"/>
    <w:rsid w:val="002D4F18"/>
    <w:rsid w:val="0032143A"/>
    <w:rsid w:val="00393D7F"/>
    <w:rsid w:val="00424E3A"/>
    <w:rsid w:val="00456545"/>
    <w:rsid w:val="00461187"/>
    <w:rsid w:val="00483B6D"/>
    <w:rsid w:val="004A6E46"/>
    <w:rsid w:val="00514ABB"/>
    <w:rsid w:val="0052190E"/>
    <w:rsid w:val="005746E4"/>
    <w:rsid w:val="00586690"/>
    <w:rsid w:val="0058697D"/>
    <w:rsid w:val="005D419B"/>
    <w:rsid w:val="006068D3"/>
    <w:rsid w:val="006125E6"/>
    <w:rsid w:val="00637679"/>
    <w:rsid w:val="00641135"/>
    <w:rsid w:val="006469FE"/>
    <w:rsid w:val="00683AD6"/>
    <w:rsid w:val="006B2367"/>
    <w:rsid w:val="00721758"/>
    <w:rsid w:val="00727D09"/>
    <w:rsid w:val="007474ED"/>
    <w:rsid w:val="00775D87"/>
    <w:rsid w:val="00781C9D"/>
    <w:rsid w:val="00792BB5"/>
    <w:rsid w:val="007E50E7"/>
    <w:rsid w:val="007E70D4"/>
    <w:rsid w:val="008008C2"/>
    <w:rsid w:val="00844970"/>
    <w:rsid w:val="008C5F96"/>
    <w:rsid w:val="008D7602"/>
    <w:rsid w:val="009258F6"/>
    <w:rsid w:val="0095074B"/>
    <w:rsid w:val="00A26C5A"/>
    <w:rsid w:val="00A669C2"/>
    <w:rsid w:val="00AA2463"/>
    <w:rsid w:val="00AA27EF"/>
    <w:rsid w:val="00AE2CC5"/>
    <w:rsid w:val="00B16A73"/>
    <w:rsid w:val="00B249AF"/>
    <w:rsid w:val="00B27919"/>
    <w:rsid w:val="00B714B1"/>
    <w:rsid w:val="00B72EBB"/>
    <w:rsid w:val="00B848C6"/>
    <w:rsid w:val="00BA6B69"/>
    <w:rsid w:val="00BC16B4"/>
    <w:rsid w:val="00BD401D"/>
    <w:rsid w:val="00BD6833"/>
    <w:rsid w:val="00BE162A"/>
    <w:rsid w:val="00BE45D9"/>
    <w:rsid w:val="00C64DAA"/>
    <w:rsid w:val="00C84EC2"/>
    <w:rsid w:val="00CD688B"/>
    <w:rsid w:val="00CD74EC"/>
    <w:rsid w:val="00CE5066"/>
    <w:rsid w:val="00D35863"/>
    <w:rsid w:val="00D82205"/>
    <w:rsid w:val="00DD2A33"/>
    <w:rsid w:val="00DD3B23"/>
    <w:rsid w:val="00DF7F83"/>
    <w:rsid w:val="00E202F5"/>
    <w:rsid w:val="00E40571"/>
    <w:rsid w:val="00E52AD0"/>
    <w:rsid w:val="00E71BC3"/>
    <w:rsid w:val="00EC7C67"/>
    <w:rsid w:val="00F5797F"/>
    <w:rsid w:val="00F73155"/>
    <w:rsid w:val="00FE2232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2036-D087-446F-913D-CA61A9E2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реестра мест (площадок) накопления твердых коммунальных отходов н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>У</vt:lpstr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28</cp:revision>
  <cp:lastPrinted>2019-02-21T05:36:00Z</cp:lastPrinted>
  <dcterms:created xsi:type="dcterms:W3CDTF">2019-02-06T23:51:00Z</dcterms:created>
  <dcterms:modified xsi:type="dcterms:W3CDTF">2020-11-23T07:33:00Z</dcterms:modified>
</cp:coreProperties>
</file>