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Default="00D86152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 w:rsidRPr="00D86152">
        <w:rPr>
          <w:rFonts w:ascii="Times New Roman" w:hAnsi="Times New Roman"/>
          <w:kern w:val="2"/>
          <w:sz w:val="28"/>
          <w:szCs w:val="28"/>
          <w:lang w:bidi="hi-IN"/>
        </w:rPr>
        <w:softHyphen/>
      </w:r>
      <w:r w:rsidRPr="00CA3692">
        <w:rPr>
          <w:rFonts w:ascii="Times New Roman" w:hAnsi="Times New Roman"/>
          <w:kern w:val="2"/>
          <w:sz w:val="28"/>
          <w:szCs w:val="28"/>
          <w:lang w:bidi="hi-IN"/>
        </w:rPr>
        <w:softHyphen/>
      </w:r>
      <w:r w:rsidRPr="00CA3692">
        <w:rPr>
          <w:rFonts w:ascii="Times New Roman" w:hAnsi="Times New Roman"/>
          <w:kern w:val="2"/>
          <w:sz w:val="28"/>
          <w:szCs w:val="28"/>
          <w:lang w:bidi="hi-IN"/>
        </w:rPr>
        <w:softHyphen/>
      </w:r>
      <w:r w:rsidRPr="00CA3692">
        <w:rPr>
          <w:rFonts w:ascii="Times New Roman" w:hAnsi="Times New Roman"/>
          <w:kern w:val="2"/>
          <w:sz w:val="28"/>
          <w:szCs w:val="28"/>
          <w:lang w:bidi="hi-IN"/>
        </w:rPr>
        <w:softHyphen/>
      </w:r>
      <w:r w:rsidRPr="00CA3692">
        <w:rPr>
          <w:rFonts w:ascii="Times New Roman" w:hAnsi="Times New Roman"/>
          <w:kern w:val="2"/>
          <w:sz w:val="28"/>
          <w:szCs w:val="28"/>
          <w:lang w:bidi="hi-IN"/>
        </w:rPr>
        <w:softHyphen/>
      </w:r>
      <w:r w:rsidRPr="00CA3692">
        <w:rPr>
          <w:rFonts w:ascii="Times New Roman" w:hAnsi="Times New Roman"/>
          <w:kern w:val="2"/>
          <w:sz w:val="28"/>
          <w:szCs w:val="28"/>
          <w:lang w:bidi="hi-IN"/>
        </w:rPr>
        <w:softHyphen/>
      </w:r>
      <w:r w:rsidR="00DF48FB">
        <w:rPr>
          <w:rFonts w:ascii="Times New Roman" w:hAnsi="Times New Roman"/>
          <w:kern w:val="2"/>
          <w:sz w:val="28"/>
          <w:szCs w:val="28"/>
          <w:lang w:bidi="hi-IN"/>
        </w:rPr>
        <w:t>__________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 w:rsidR="000C64E4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9D3F0B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Pr="00CA3692">
        <w:rPr>
          <w:rFonts w:ascii="Times New Roman" w:hAnsi="Times New Roman"/>
          <w:kern w:val="2"/>
          <w:sz w:val="28"/>
          <w:szCs w:val="28"/>
          <w:u w:val="single"/>
          <w:lang w:bidi="hi-IN"/>
        </w:rPr>
        <w:t xml:space="preserve"> </w:t>
      </w:r>
      <w:r w:rsidR="00DF48FB">
        <w:rPr>
          <w:rFonts w:ascii="Times New Roman" w:hAnsi="Times New Roman"/>
          <w:kern w:val="2"/>
          <w:sz w:val="28"/>
          <w:szCs w:val="28"/>
          <w:lang w:bidi="hi-IN"/>
        </w:rPr>
        <w:t>___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Default="00184E1B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2022 – 2024 годы».</w:t>
      </w:r>
    </w:p>
    <w:p w:rsidR="00604EC1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212E0A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212E0A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от 06.10.20</w:t>
      </w:r>
      <w:r w:rsidR="007E60CA">
        <w:rPr>
          <w:rFonts w:ascii="Times New Roman" w:hAnsi="Times New Roman"/>
          <w:sz w:val="28"/>
          <w:szCs w:val="28"/>
        </w:rPr>
        <w:t>0</w:t>
      </w:r>
      <w:r w:rsidR="00212E0A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>
        <w:rPr>
          <w:rFonts w:ascii="Times New Roman" w:hAnsi="Times New Roman"/>
          <w:sz w:val="28"/>
          <w:szCs w:val="28"/>
        </w:rPr>
        <w:t xml:space="preserve">, </w:t>
      </w:r>
      <w:r w:rsidR="00D44FB5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D44FB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</w:t>
      </w:r>
      <w:r w:rsidR="00212E0A">
        <w:rPr>
          <w:rFonts w:ascii="Times New Roman" w:hAnsi="Times New Roman"/>
          <w:sz w:val="28"/>
          <w:szCs w:val="28"/>
        </w:rPr>
        <w:t>Устав</w:t>
      </w:r>
      <w:r w:rsidR="00D44FB5"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</w:t>
      </w:r>
      <w:r w:rsidR="00212E0A" w:rsidRPr="00374BA2">
        <w:rPr>
          <w:rFonts w:ascii="Times New Roman" w:hAnsi="Times New Roman"/>
          <w:sz w:val="28"/>
          <w:szCs w:val="28"/>
        </w:rPr>
        <w:t>Порядк</w:t>
      </w:r>
      <w:r w:rsidR="00D44FB5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374BA2">
        <w:rPr>
          <w:rFonts w:ascii="Times New Roman" w:hAnsi="Times New Roman"/>
          <w:sz w:val="28"/>
          <w:szCs w:val="28"/>
        </w:rPr>
        <w:t xml:space="preserve"> разработк</w:t>
      </w:r>
      <w:r w:rsidR="00D44FB5">
        <w:rPr>
          <w:rFonts w:ascii="Times New Roman" w:hAnsi="Times New Roman"/>
          <w:sz w:val="28"/>
          <w:szCs w:val="28"/>
        </w:rPr>
        <w:t>е</w:t>
      </w:r>
      <w:r w:rsidR="00212E0A" w:rsidRPr="00374BA2">
        <w:rPr>
          <w:rFonts w:ascii="Times New Roman" w:hAnsi="Times New Roman"/>
          <w:sz w:val="28"/>
          <w:szCs w:val="28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374BA2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F5A6E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5A6E">
        <w:rPr>
          <w:rFonts w:ascii="Times New Roman" w:hAnsi="Times New Roman"/>
          <w:sz w:val="28"/>
          <w:szCs w:val="28"/>
        </w:rPr>
        <w:t xml:space="preserve">. </w:t>
      </w:r>
      <w:r w:rsidR="00323E34">
        <w:rPr>
          <w:rFonts w:ascii="Times New Roman" w:hAnsi="Times New Roman"/>
          <w:sz w:val="28"/>
          <w:szCs w:val="28"/>
        </w:rPr>
        <w:t>Утвердить прилагаемую муниципальную программу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323E3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323E3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следующие изменения:</w:t>
      </w:r>
      <w:r w:rsidR="005F7974">
        <w:rPr>
          <w:rFonts w:ascii="Times New Roman" w:hAnsi="Times New Roman"/>
          <w:sz w:val="28"/>
          <w:szCs w:val="28"/>
        </w:rPr>
        <w:t xml:space="preserve"> </w:t>
      </w:r>
    </w:p>
    <w:p w:rsidR="002C7C57" w:rsidRPr="009F30B8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2E0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>
        <w:rPr>
          <w:rFonts w:ascii="Times New Roman" w:hAnsi="Times New Roman"/>
          <w:sz w:val="28"/>
          <w:szCs w:val="28"/>
          <w:lang w:val="en-US"/>
        </w:rPr>
        <w:t>www</w:t>
      </w:r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>
        <w:rPr>
          <w:rFonts w:ascii="Times New Roman" w:hAnsi="Times New Roman"/>
          <w:sz w:val="28"/>
          <w:szCs w:val="28"/>
        </w:rPr>
        <w:t>-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Default="00446357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2E0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446357">
        <w:rPr>
          <w:rFonts w:ascii="Times New Roman" w:hAnsi="Times New Roman"/>
          <w:sz w:val="28"/>
          <w:szCs w:val="28"/>
        </w:rPr>
        <w:t>А.С. Симонов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Подготовил: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761B85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761B85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761B85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357B" w:rsidRPr="002F5A6E" w:rsidRDefault="0073357B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73357B" w:rsidRPr="002F5A6E" w:rsidRDefault="0073357B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73357B" w:rsidRPr="002F5A6E" w:rsidRDefault="0073357B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73357B" w:rsidRPr="00DF48FB" w:rsidRDefault="0073357B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 №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73357B" w:rsidRPr="002F5A6E" w:rsidRDefault="0073357B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73357B" w:rsidRPr="002F5A6E" w:rsidRDefault="0073357B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73357B" w:rsidRPr="002F5A6E" w:rsidRDefault="0073357B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73357B" w:rsidRPr="00DF48FB" w:rsidRDefault="0073357B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 №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BE0A82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A82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184E1B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2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184E1B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4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6A74F0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BE0A82" w:rsidRDefault="00212E0A" w:rsidP="00BE0A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Заместитель главы администрации </w:t>
            </w:r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по </w:t>
            </w:r>
            <w:proofErr w:type="gramStart"/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жилищно-коммунальным</w:t>
            </w:r>
            <w:proofErr w:type="gramEnd"/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, имущественным и земельным</w:t>
            </w:r>
          </w:p>
          <w:p w:rsidR="00BE0A82" w:rsidRDefault="00BE0A82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вопросам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6A74F0" w:rsidRDefault="00BE0A82" w:rsidP="00926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  <w:r w:rsidR="00926E66">
              <w:rPr>
                <w:rFonts w:ascii="Times New Roman" w:hAnsi="Times New Roman"/>
                <w:color w:val="000000"/>
                <w:sz w:val="28"/>
                <w:szCs w:val="28"/>
              </w:rPr>
              <w:t>К. Жилин</w:t>
            </w:r>
          </w:p>
        </w:tc>
        <w:tc>
          <w:tcPr>
            <w:tcW w:w="2268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212E0A" w:rsidRPr="000462CE" w:rsidRDefault="000462CE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84E1B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212E0A" w:rsidRDefault="00212E0A" w:rsidP="009753E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212E0A" w:rsidRPr="003D6A14" w:rsidRDefault="004F3614" w:rsidP="00212E0A">
      <w:pPr>
        <w:widowControl w:val="0"/>
        <w:suppressAutoHyphens/>
        <w:spacing w:after="0" w:line="240" w:lineRule="auto"/>
        <w:ind w:firstLine="547"/>
        <w:jc w:val="both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3D6A1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2E0A" w:rsidRPr="003D6A14" w:rsidRDefault="00212E0A" w:rsidP="00B525B0">
      <w:pPr>
        <w:spacing w:after="0"/>
        <w:ind w:left="360"/>
        <w:jc w:val="center"/>
        <w:rPr>
          <w:rFonts w:ascii="Times New Roman" w:eastAsia="Calibri" w:hAnsi="Times New Roman"/>
          <w:sz w:val="26"/>
          <w:szCs w:val="26"/>
        </w:rPr>
      </w:pPr>
      <w:r w:rsidRPr="003D6A14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3D6A14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0D21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2158" w:rsidRPr="003D6A14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по жилищно-коммунальным, имущественным и земельным отношениям А.К. Жилин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DD51A3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3D6A14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3D6A14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3D6A14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3D6A14">
              <w:rPr>
                <w:sz w:val="26"/>
                <w:szCs w:val="26"/>
              </w:rPr>
              <w:t>км</w:t>
            </w:r>
            <w:proofErr w:type="gramEnd"/>
            <w:r w:rsidRPr="003D6A14">
              <w:rPr>
                <w:sz w:val="26"/>
                <w:szCs w:val="26"/>
              </w:rPr>
              <w:t>.</w:t>
            </w:r>
          </w:p>
        </w:tc>
      </w:tr>
      <w:tr w:rsidR="00212E0A" w:rsidRPr="003D6A14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2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4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2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3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184E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4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3D6A14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Финансирование Программы предусматривается за счет средств местного бюджета муниципального образования «Приамурское городское поселение», средств дорожного фонда.</w:t>
            </w:r>
          </w:p>
          <w:p w:rsidR="00212E0A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FF3B38">
              <w:rPr>
                <w:rFonts w:ascii="Times New Roman" w:hAnsi="Times New Roman"/>
                <w:sz w:val="26"/>
                <w:szCs w:val="26"/>
              </w:rPr>
              <w:t>2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="00212E0A" w:rsidRPr="00FF3B38">
              <w:rPr>
                <w:rFonts w:ascii="Times New Roman" w:hAnsi="Times New Roman"/>
                <w:sz w:val="26"/>
                <w:szCs w:val="26"/>
              </w:rPr>
              <w:t>–</w:t>
            </w:r>
            <w:r w:rsidR="00721089" w:rsidRPr="00FF3B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>
              <w:rPr>
                <w:rFonts w:ascii="Times New Roman" w:hAnsi="Times New Roman"/>
                <w:sz w:val="26"/>
                <w:szCs w:val="26"/>
              </w:rPr>
              <w:t>4966,24</w:t>
            </w:r>
            <w:r w:rsidR="00ED1F82" w:rsidRPr="00FF3B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2D3C40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FF3B38">
              <w:rPr>
                <w:rFonts w:ascii="Times New Roman" w:hAnsi="Times New Roman"/>
                <w:sz w:val="26"/>
                <w:szCs w:val="26"/>
              </w:rPr>
              <w:t>3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EC0FCE">
              <w:rPr>
                <w:rFonts w:ascii="Times New Roman" w:hAnsi="Times New Roman"/>
                <w:sz w:val="26"/>
                <w:szCs w:val="26"/>
              </w:rPr>
              <w:t>5826,16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FF3B38">
              <w:rPr>
                <w:rFonts w:ascii="Times New Roman" w:hAnsi="Times New Roman"/>
                <w:sz w:val="26"/>
                <w:szCs w:val="26"/>
              </w:rPr>
              <w:t>4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>
              <w:rPr>
                <w:rFonts w:ascii="Times New Roman" w:hAnsi="Times New Roman"/>
                <w:sz w:val="26"/>
                <w:szCs w:val="26"/>
              </w:rPr>
              <w:t>5826,16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>
              <w:rPr>
                <w:rFonts w:ascii="Times New Roman" w:hAnsi="Times New Roman"/>
                <w:sz w:val="26"/>
                <w:szCs w:val="26"/>
              </w:rPr>
              <w:t>16 618,56</w:t>
            </w:r>
            <w:r w:rsidR="00FB3C2E" w:rsidRPr="00FF3B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3C2E" w:rsidRPr="003D6A14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18190F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0B447C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0B447C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0B447C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184E1B">
        <w:rPr>
          <w:rFonts w:ascii="Times New Roman" w:hAnsi="Times New Roman"/>
          <w:sz w:val="26"/>
          <w:szCs w:val="26"/>
        </w:rPr>
        <w:t>127,622</w:t>
      </w:r>
      <w:r w:rsidRPr="000B447C">
        <w:rPr>
          <w:rFonts w:ascii="Times New Roman" w:hAnsi="Times New Roman"/>
          <w:sz w:val="26"/>
          <w:szCs w:val="26"/>
        </w:rPr>
        <w:t xml:space="preserve"> км (с асфальтобетонным покрытием – 27,444 км, переходным покрытием – </w:t>
      </w:r>
      <w:r w:rsidR="00184E1B">
        <w:rPr>
          <w:rFonts w:ascii="Times New Roman" w:hAnsi="Times New Roman"/>
          <w:sz w:val="26"/>
          <w:szCs w:val="26"/>
        </w:rPr>
        <w:t>100,178</w:t>
      </w:r>
      <w:r w:rsidRPr="000B447C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0B447C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0B447C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0B447C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полное использование выделенных денежных средств.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0B447C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0B447C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</w:r>
      <w:r w:rsidRPr="000B447C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0B447C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0B447C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0B447C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3D6A14" w:rsidRPr="000B447C" w:rsidRDefault="003D6A14" w:rsidP="000B447C">
      <w:pPr>
        <w:pStyle w:val="ab"/>
        <w:ind w:firstLine="708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>5. Ожидаемые результаты реализации программы</w:t>
      </w:r>
    </w:p>
    <w:p w:rsidR="000B447C" w:rsidRPr="000B447C" w:rsidRDefault="003D6A14" w:rsidP="000B44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color w:val="FF0000"/>
          <w:sz w:val="26"/>
          <w:szCs w:val="26"/>
        </w:rPr>
        <w:t xml:space="preserve">   </w:t>
      </w:r>
      <w:r w:rsidR="000B447C" w:rsidRPr="000B447C">
        <w:rPr>
          <w:rFonts w:ascii="Times New Roman" w:hAnsi="Times New Roman"/>
          <w:sz w:val="26"/>
          <w:szCs w:val="26"/>
        </w:rPr>
        <w:t>В результате реализации программы в 202</w:t>
      </w:r>
      <w:r w:rsidR="00184E1B">
        <w:rPr>
          <w:rFonts w:ascii="Times New Roman" w:hAnsi="Times New Roman"/>
          <w:sz w:val="26"/>
          <w:szCs w:val="26"/>
        </w:rPr>
        <w:t>2</w:t>
      </w:r>
      <w:r w:rsidR="000B447C" w:rsidRPr="000B447C">
        <w:rPr>
          <w:rFonts w:ascii="Times New Roman" w:hAnsi="Times New Roman"/>
          <w:sz w:val="26"/>
          <w:szCs w:val="26"/>
        </w:rPr>
        <w:t>-202</w:t>
      </w:r>
      <w:r w:rsidR="00184E1B">
        <w:rPr>
          <w:rFonts w:ascii="Times New Roman" w:hAnsi="Times New Roman"/>
          <w:sz w:val="26"/>
          <w:szCs w:val="26"/>
        </w:rPr>
        <w:t>4</w:t>
      </w:r>
      <w:r w:rsidR="000B447C" w:rsidRPr="000B447C">
        <w:rPr>
          <w:rFonts w:ascii="Times New Roman" w:hAnsi="Times New Roman"/>
          <w:sz w:val="26"/>
          <w:szCs w:val="26"/>
        </w:rPr>
        <w:t xml:space="preserve"> годах на автомобильных дорогах поселения будут выполнены работы по ремонту автомобильных дорог общего пользования местного значения.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Реализация программы обеспечит: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уровня транспортно   -  эксплуатационного     состояния   автомобильных дорог поселения;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безопасности дорожного движения;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снижение транспортных издержек владельцев транспортных средств;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сокращение времени пребывания в пути;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стимулирование   экономической   активности    хозяйствующих субъектов и населения;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уровня инвестиционной привлекательности территории.</w:t>
      </w:r>
    </w:p>
    <w:p w:rsidR="000B447C" w:rsidRPr="000B447C" w:rsidRDefault="000B447C" w:rsidP="000B447C">
      <w:pPr>
        <w:spacing w:after="0" w:line="240" w:lineRule="auto"/>
        <w:jc w:val="both"/>
        <w:rPr>
          <w:sz w:val="26"/>
          <w:szCs w:val="26"/>
        </w:rPr>
      </w:pPr>
    </w:p>
    <w:p w:rsidR="00212E0A" w:rsidRPr="003D6A14" w:rsidRDefault="000B447C" w:rsidP="00212E0A">
      <w:pPr>
        <w:pStyle w:val="ab"/>
        <w:ind w:left="142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140BC" w:rsidRPr="003D6A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3D6A14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3D6A14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2D3C40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1"/>
        <w:gridCol w:w="3978"/>
        <w:gridCol w:w="851"/>
        <w:gridCol w:w="709"/>
        <w:gridCol w:w="850"/>
        <w:gridCol w:w="762"/>
        <w:gridCol w:w="762"/>
        <w:gridCol w:w="762"/>
      </w:tblGrid>
      <w:tr w:rsidR="00184E1B" w:rsidRPr="00184E1B" w:rsidTr="00184E1B">
        <w:trPr>
          <w:trHeight w:val="395"/>
          <w:jc w:val="center"/>
        </w:trPr>
        <w:tc>
          <w:tcPr>
            <w:tcW w:w="771" w:type="dxa"/>
            <w:shd w:val="clear" w:color="auto" w:fill="FFFFFF" w:themeFill="background1"/>
          </w:tcPr>
          <w:p w:rsidR="00007FD3" w:rsidRPr="00184E1B" w:rsidRDefault="00007FD3" w:rsidP="00816776">
            <w:pPr>
              <w:ind w:right="-55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№</w:t>
            </w:r>
            <w:proofErr w:type="gramStart"/>
            <w:r w:rsidRPr="00184E1B">
              <w:rPr>
                <w:rFonts w:ascii="Times New Roman" w:hAnsi="Times New Roman"/>
              </w:rPr>
              <w:t>п</w:t>
            </w:r>
            <w:proofErr w:type="gramEnd"/>
            <w:r w:rsidRPr="00184E1B">
              <w:rPr>
                <w:rFonts w:ascii="Times New Roman" w:hAnsi="Times New Roman"/>
              </w:rPr>
              <w:t>/п</w:t>
            </w:r>
          </w:p>
        </w:tc>
        <w:tc>
          <w:tcPr>
            <w:tcW w:w="3978" w:type="dxa"/>
            <w:shd w:val="clear" w:color="auto" w:fill="FFFFFF" w:themeFill="background1"/>
          </w:tcPr>
          <w:p w:rsidR="00007FD3" w:rsidRPr="00184E1B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Мероприятия</w:t>
            </w:r>
          </w:p>
          <w:p w:rsidR="00007FD3" w:rsidRPr="00184E1B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07FD3" w:rsidRPr="00184E1B" w:rsidRDefault="00007FD3" w:rsidP="00291B5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202</w:t>
            </w:r>
            <w:r w:rsidR="00291B5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184E1B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КБК</w:t>
            </w:r>
          </w:p>
        </w:tc>
        <w:tc>
          <w:tcPr>
            <w:tcW w:w="850" w:type="dxa"/>
            <w:shd w:val="clear" w:color="auto" w:fill="FFFFFF" w:themeFill="background1"/>
          </w:tcPr>
          <w:p w:rsidR="00007FD3" w:rsidRPr="00184E1B" w:rsidRDefault="00007FD3" w:rsidP="00291B5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202</w:t>
            </w:r>
            <w:r w:rsidR="00291B54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КБК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007FD3" w:rsidP="00291B5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202</w:t>
            </w:r>
            <w:r w:rsidR="00291B54">
              <w:rPr>
                <w:rFonts w:ascii="Times New Roman" w:hAnsi="Times New Roman"/>
              </w:rPr>
              <w:t>4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КБК</w:t>
            </w:r>
          </w:p>
        </w:tc>
      </w:tr>
      <w:tr w:rsidR="00184E1B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07FD3" w:rsidRPr="00184E1B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</w:t>
            </w:r>
          </w:p>
        </w:tc>
        <w:tc>
          <w:tcPr>
            <w:tcW w:w="3978" w:type="dxa"/>
            <w:shd w:val="clear" w:color="auto" w:fill="FFFFFF" w:themeFill="background1"/>
          </w:tcPr>
          <w:p w:rsidR="00007FD3" w:rsidRPr="00184E1B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5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6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8</w:t>
            </w:r>
          </w:p>
        </w:tc>
      </w:tr>
      <w:tr w:rsidR="00184E1B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07FD3" w:rsidRPr="00184E1B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978" w:type="dxa"/>
            <w:shd w:val="clear" w:color="auto" w:fill="FFFFFF" w:themeFill="background1"/>
          </w:tcPr>
          <w:p w:rsidR="00007FD3" w:rsidRPr="00184E1B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С</w:t>
            </w:r>
            <w:r w:rsidR="00007FD3" w:rsidRPr="00184E1B">
              <w:rPr>
                <w:rFonts w:ascii="Times New Roman" w:hAnsi="Times New Roman"/>
                <w:b/>
              </w:rPr>
              <w:t>одержание</w:t>
            </w:r>
            <w:r w:rsidR="004E13EB" w:rsidRPr="00184E1B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184E1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007FD3" w:rsidRPr="00291B54" w:rsidRDefault="006934E6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1000,0</w:t>
            </w:r>
          </w:p>
          <w:p w:rsidR="00007FD3" w:rsidRPr="00184E1B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184E1B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07FD3" w:rsidRPr="00184E1B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935,0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815,0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881FFE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4E13EB" w:rsidRPr="00184E1B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1.1</w:t>
            </w:r>
            <w:r w:rsidR="00FD6702" w:rsidRPr="00184E1B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4E13EB" w:rsidRPr="00184E1B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4E13EB" w:rsidRPr="00291B54" w:rsidRDefault="00291B54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184E1B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E13EB" w:rsidRPr="00184E1B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184E1B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184E1B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184E1B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184E1B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1.2</w:t>
            </w:r>
            <w:r w:rsidR="00FD6702" w:rsidRPr="00184E1B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184E1B">
              <w:rPr>
                <w:rFonts w:ascii="Times New Roman" w:hAnsi="Times New Roman"/>
              </w:rPr>
              <w:t>разметки</w:t>
            </w:r>
            <w:proofErr w:type="gramEnd"/>
            <w:r w:rsidRPr="00184E1B">
              <w:rPr>
                <w:rFonts w:ascii="Times New Roman" w:hAnsi="Times New Roman"/>
              </w:rPr>
              <w:t xml:space="preserve"> а/д «Приамурская-Владимировка»</w:t>
            </w:r>
            <w:r w:rsidR="00291B54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291B54" w:rsidP="0010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346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291B54">
              <w:rPr>
                <w:rFonts w:ascii="Times New Roman" w:hAnsi="Times New Roman"/>
              </w:rPr>
              <w:t>15</w:t>
            </w:r>
            <w:r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346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</w:t>
            </w:r>
            <w:r w:rsidR="00A061D0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346</w:t>
            </w:r>
          </w:p>
        </w:tc>
      </w:tr>
      <w:tr w:rsidR="00184E1B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1.</w:t>
            </w:r>
            <w:r w:rsidR="000A5AD9" w:rsidRPr="00184E1B">
              <w:rPr>
                <w:rFonts w:ascii="Times New Roman" w:hAnsi="Times New Roman"/>
              </w:rPr>
              <w:t>3</w:t>
            </w:r>
            <w:r w:rsidRPr="00184E1B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184E1B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184E1B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184E1B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6934E6" w:rsidP="00782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227962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</w:p>
        </w:tc>
      </w:tr>
      <w:tr w:rsidR="00184E1B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E44FD6" w:rsidRPr="00184E1B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978" w:type="dxa"/>
            <w:shd w:val="clear" w:color="auto" w:fill="FFFFFF" w:themeFill="background1"/>
          </w:tcPr>
          <w:p w:rsidR="00E44FD6" w:rsidRPr="00184E1B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E44FD6" w:rsidRPr="00184E1B" w:rsidRDefault="000742B4" w:rsidP="00104D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184E1B" w:rsidRDefault="00E44FD6" w:rsidP="00104DB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850" w:type="dxa"/>
            <w:shd w:val="clear" w:color="auto" w:fill="FFFFFF" w:themeFill="background1"/>
          </w:tcPr>
          <w:p w:rsidR="00E44FD6" w:rsidRPr="00184E1B" w:rsidRDefault="00E44FD6" w:rsidP="00104DB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184E1B" w:rsidRDefault="00E44FD6" w:rsidP="00104DB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184E1B" w:rsidRDefault="00E44FD6" w:rsidP="00104DB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184E1B" w:rsidRDefault="00E44FD6" w:rsidP="00104DB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2.1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Установка и приобретение дорожных знаков 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0742B4" w:rsidP="0010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  <w:r>
              <w:rPr>
                <w:rFonts w:ascii="Times New Roman" w:hAnsi="Times New Roman"/>
              </w:rPr>
              <w:t>,0</w:t>
            </w:r>
            <w:r w:rsidR="00FD6702" w:rsidRPr="00184E1B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30,0    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30</w:t>
            </w:r>
            <w:r w:rsidR="00A061D0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346</w:t>
            </w:r>
          </w:p>
        </w:tc>
      </w:tr>
      <w:tr w:rsidR="00184E1B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</w:t>
            </w:r>
            <w:r w:rsidR="00FD6702" w:rsidRPr="00184E1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Del="00F96162" w:rsidRDefault="006934E6" w:rsidP="00881F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D6702" w:rsidRPr="00184E1B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Del="00F96162" w:rsidRDefault="00FD6702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</w:t>
            </w:r>
            <w:r w:rsidR="00FD6702" w:rsidRPr="00184E1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0742B4" w:rsidP="00881F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="00E91639" w:rsidRPr="00184E1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7434F9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7434F9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184E1B" w:rsidTr="00184E1B">
        <w:trPr>
          <w:trHeight w:val="601"/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4</w:t>
            </w:r>
            <w:r w:rsidR="00FD6702" w:rsidRPr="00184E1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0742B4" w:rsidRDefault="008A1B01" w:rsidP="00500EA3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3156,24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23175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7D6C95" w:rsidP="003D36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3861,16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23175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7D6C95" w:rsidP="008148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23175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</w:tr>
      <w:tr w:rsidR="003849C2" w:rsidRPr="003849C2" w:rsidTr="003849C2">
        <w:trPr>
          <w:trHeight w:val="331"/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3849C2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4</w:t>
            </w:r>
            <w:r w:rsidR="00FD6702" w:rsidRPr="003849C2">
              <w:rPr>
                <w:rFonts w:ascii="Times New Roman" w:hAnsi="Times New Roman"/>
                <w:color w:val="FF0000"/>
              </w:rPr>
              <w:t>.1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 xml:space="preserve">Восстановление дорожного </w:t>
            </w:r>
            <w:proofErr w:type="gramStart"/>
            <w:r w:rsidRPr="003849C2">
              <w:rPr>
                <w:rFonts w:ascii="Times New Roman" w:hAnsi="Times New Roman"/>
                <w:color w:val="FF0000"/>
              </w:rPr>
              <w:t>полотна</w:t>
            </w:r>
            <w:proofErr w:type="gramEnd"/>
            <w:r w:rsidRPr="003849C2">
              <w:rPr>
                <w:rFonts w:ascii="Times New Roman" w:hAnsi="Times New Roman"/>
                <w:color w:val="FF0000"/>
              </w:rPr>
              <w:t xml:space="preserve"> а/д «Приамурская-Владимировка»</w:t>
            </w:r>
            <w:r w:rsidR="0073357B">
              <w:rPr>
                <w:rFonts w:ascii="Times New Roman" w:hAnsi="Times New Roman"/>
                <w:color w:val="FF0000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300,0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400,0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184E1B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4</w:t>
            </w:r>
            <w:r w:rsidR="00FD6702" w:rsidRPr="00184E1B">
              <w:rPr>
                <w:rFonts w:ascii="Times New Roman" w:hAnsi="Times New Roman"/>
              </w:rPr>
              <w:t>.2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Восстановление дорожного полотна по  ул. </w:t>
            </w:r>
            <w:proofErr w:type="gramStart"/>
            <w:r w:rsidRPr="00184E1B">
              <w:rPr>
                <w:rFonts w:ascii="Times New Roman" w:hAnsi="Times New Roman"/>
              </w:rPr>
              <w:t>Вокзальная</w:t>
            </w:r>
            <w:proofErr w:type="gramEnd"/>
            <w:r w:rsidRPr="00184E1B"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3849C2" w:rsidRPr="003849C2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3849C2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4</w:t>
            </w:r>
            <w:r w:rsidR="00FD6702" w:rsidRPr="003849C2">
              <w:rPr>
                <w:rFonts w:ascii="Times New Roman" w:hAnsi="Times New Roman"/>
                <w:color w:val="FF0000"/>
              </w:rPr>
              <w:t>.4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Восстановление дорожного полотна по ул. Амурская (от дома № 33 по ул. Вокзальная до дома № 7 по ул. Амурская)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3849C2" w:rsidRDefault="0046301A" w:rsidP="005E6B1C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2150</w:t>
            </w:r>
            <w:r w:rsidR="00FD6702" w:rsidRPr="003849C2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184E1B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4</w:t>
            </w:r>
            <w:r w:rsidR="00FD6702" w:rsidRPr="00184E1B">
              <w:rPr>
                <w:rFonts w:ascii="Times New Roman" w:hAnsi="Times New Roman"/>
              </w:rPr>
              <w:t>.5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Восстановление дорожного полотна по ул.  Садовая,  ул. Набережная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296,8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184E1B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4</w:t>
            </w:r>
            <w:r w:rsidR="00FD6702" w:rsidRPr="00184E1B">
              <w:rPr>
                <w:rFonts w:ascii="Times New Roman" w:hAnsi="Times New Roman"/>
              </w:rPr>
              <w:t>.6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Восстановление дорожного полотна по ул. Островского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184E1B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4</w:t>
            </w:r>
            <w:r w:rsidR="00FD6702" w:rsidRPr="00184E1B">
              <w:rPr>
                <w:rFonts w:ascii="Times New Roman" w:hAnsi="Times New Roman"/>
              </w:rPr>
              <w:t>.7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Восстановление дорожного полотна по ул. Дзержинского (от дома № 21 по ул. Вокзальной до </w:t>
            </w:r>
            <w:r w:rsidR="009B582B">
              <w:rPr>
                <w:rFonts w:ascii="Times New Roman" w:hAnsi="Times New Roman"/>
              </w:rPr>
              <w:t xml:space="preserve">дома № 9 по ул. Дзержинского) возле </w:t>
            </w:r>
            <w:r w:rsidR="005C5AE1">
              <w:rPr>
                <w:rFonts w:ascii="Times New Roman" w:hAnsi="Times New Roman"/>
              </w:rPr>
              <w:t xml:space="preserve">дома 9 + </w:t>
            </w:r>
            <w:r w:rsidRPr="00184E1B">
              <w:rPr>
                <w:rFonts w:ascii="Times New Roman" w:hAnsi="Times New Roman"/>
              </w:rPr>
              <w:t>отсыпка обочины возле Дзержинского д. 3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184E1B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Восстановление дорожного полотна по ул. Лазо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0C7C0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6853" w:rsidRPr="00184E1B">
              <w:rPr>
                <w:rFonts w:ascii="Times New Roman" w:hAnsi="Times New Roman"/>
              </w:rPr>
              <w:t>0</w:t>
            </w:r>
            <w:r w:rsidR="00FD6702"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E15EE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FD6702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Восстановлен</w:t>
            </w:r>
            <w:r>
              <w:rPr>
                <w:rFonts w:ascii="Times New Roman" w:hAnsi="Times New Roman"/>
              </w:rPr>
              <w:t xml:space="preserve">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Железнодорожная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C7C0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742B4" w:rsidRPr="00184E1B">
              <w:rPr>
                <w:rFonts w:ascii="Times New Roman" w:hAnsi="Times New Roman"/>
              </w:rPr>
              <w:t>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E15EE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434,36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3849C2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3849C2" w:rsidRDefault="003849C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8" w:type="dxa"/>
            <w:shd w:val="clear" w:color="auto" w:fill="FFFFFF" w:themeFill="background1"/>
          </w:tcPr>
          <w:p w:rsidR="003849C2" w:rsidRPr="00184E1B" w:rsidRDefault="003849C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Восстановлен</w:t>
            </w:r>
            <w:r>
              <w:rPr>
                <w:rFonts w:ascii="Times New Roman" w:hAnsi="Times New Roman"/>
              </w:rPr>
              <w:t xml:space="preserve">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3849C2" w:rsidRDefault="006F497A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849C2" w:rsidRPr="00184E1B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3849C2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234,36</w:t>
            </w:r>
          </w:p>
        </w:tc>
        <w:tc>
          <w:tcPr>
            <w:tcW w:w="762" w:type="dxa"/>
            <w:shd w:val="clear" w:color="auto" w:fill="FFFFFF" w:themeFill="background1"/>
          </w:tcPr>
          <w:p w:rsidR="003849C2" w:rsidRPr="00184E1B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3849C2" w:rsidRPr="00184E1B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849C2" w:rsidRPr="00184E1B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9B582B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B582B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3978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</w:t>
            </w:r>
            <w:proofErr w:type="gramStart"/>
            <w:r>
              <w:rPr>
                <w:rFonts w:ascii="Times New Roman" w:hAnsi="Times New Roman"/>
              </w:rPr>
              <w:t>по пер</w:t>
            </w:r>
            <w:proofErr w:type="gramEnd"/>
            <w:r>
              <w:rPr>
                <w:rFonts w:ascii="Times New Roman" w:hAnsi="Times New Roman"/>
              </w:rPr>
              <w:t xml:space="preserve"> Гоголя (возле региональной трассы)</w:t>
            </w:r>
          </w:p>
        </w:tc>
        <w:tc>
          <w:tcPr>
            <w:tcW w:w="851" w:type="dxa"/>
            <w:shd w:val="clear" w:color="auto" w:fill="FFFFFF" w:themeFill="background1"/>
          </w:tcPr>
          <w:p w:rsidR="009B582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9B582B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B582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0742B4" w:rsidRPr="003849C2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3849C2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4.11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 xml:space="preserve">Выравнивание дорожного полотна ул. </w:t>
            </w:r>
            <w:proofErr w:type="gramStart"/>
            <w:r w:rsidRPr="003849C2">
              <w:rPr>
                <w:rFonts w:ascii="Times New Roman" w:hAnsi="Times New Roman"/>
                <w:color w:val="FF0000"/>
              </w:rPr>
              <w:t>Совхозная</w:t>
            </w:r>
            <w:proofErr w:type="gramEnd"/>
            <w:r w:rsidRPr="003849C2">
              <w:rPr>
                <w:rFonts w:ascii="Times New Roman" w:hAnsi="Times New Roman"/>
                <w:color w:val="FF0000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3849C2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  <w:lang w:val="en-US"/>
              </w:rPr>
              <w:t>10</w:t>
            </w:r>
            <w:r w:rsidR="000742B4" w:rsidRPr="003849C2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ул. Белинского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ул. Юности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4.14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ул. Рыбхоз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Юбилейная</w:t>
            </w:r>
            <w:proofErr w:type="gramEnd"/>
            <w:r w:rsidRPr="00184E1B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4.16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Новая</w:t>
            </w:r>
            <w:proofErr w:type="gramEnd"/>
            <w:r w:rsidRPr="00184E1B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4.17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Луговая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4.18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Молодежной (от ул. </w:t>
            </w:r>
            <w:proofErr w:type="gramStart"/>
            <w:r w:rsidRPr="00184E1B">
              <w:rPr>
                <w:rFonts w:ascii="Times New Roman" w:hAnsi="Times New Roman"/>
              </w:rPr>
              <w:t>Комсомольская</w:t>
            </w:r>
            <w:proofErr w:type="gramEnd"/>
            <w:r w:rsidRPr="00184E1B">
              <w:rPr>
                <w:rFonts w:ascii="Times New Roman" w:hAnsi="Times New Roman"/>
              </w:rPr>
              <w:t xml:space="preserve"> до пади)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42B4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3849C2" w:rsidRPr="003849C2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3849C2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4.19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 xml:space="preserve">Выравнивание </w:t>
            </w:r>
            <w:r w:rsidR="009B582B" w:rsidRPr="003849C2">
              <w:rPr>
                <w:rFonts w:ascii="Times New Roman" w:hAnsi="Times New Roman"/>
                <w:color w:val="FF0000"/>
              </w:rPr>
              <w:t xml:space="preserve">дорожного полотна по ул. </w:t>
            </w:r>
            <w:proofErr w:type="gramStart"/>
            <w:r w:rsidR="009B582B" w:rsidRPr="003849C2">
              <w:rPr>
                <w:rFonts w:ascii="Times New Roman" w:hAnsi="Times New Roman"/>
                <w:color w:val="FF0000"/>
              </w:rPr>
              <w:t>Зеленая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46301A" w:rsidRDefault="0046301A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406</w:t>
            </w:r>
            <w:r>
              <w:rPr>
                <w:rFonts w:ascii="Times New Roman" w:hAnsi="Times New Roman"/>
                <w:color w:val="FF0000"/>
              </w:rPr>
              <w:t>,24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4.20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Гоголя 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4.21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Весенняя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4.22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ул. Гагарина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42B4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226,8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4.23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ул. Ленина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42B4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4.24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пер. Гагарина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42B4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500EA3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500EA3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4.25</w:t>
            </w:r>
          </w:p>
        </w:tc>
        <w:tc>
          <w:tcPr>
            <w:tcW w:w="3978" w:type="dxa"/>
            <w:shd w:val="clear" w:color="auto" w:fill="FFFFFF" w:themeFill="background1"/>
          </w:tcPr>
          <w:p w:rsidR="00500EA3" w:rsidRPr="00500EA3" w:rsidRDefault="00500EA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полотна по ул. Пушкина (участок дороги, ведущий </w:t>
            </w:r>
            <w:proofErr w:type="gramStart"/>
            <w:r>
              <w:rPr>
                <w:rFonts w:ascii="Times New Roman" w:hAnsi="Times New Roman"/>
              </w:rPr>
              <w:t>к ж</w:t>
            </w:r>
            <w:proofErr w:type="gramEnd"/>
            <w:r>
              <w:rPr>
                <w:rFonts w:ascii="Times New Roman" w:hAnsi="Times New Roman"/>
              </w:rPr>
              <w:t>/д мастерским)</w:t>
            </w:r>
          </w:p>
        </w:tc>
        <w:tc>
          <w:tcPr>
            <w:tcW w:w="851" w:type="dxa"/>
            <w:shd w:val="clear" w:color="auto" w:fill="FFFFFF" w:themeFill="background1"/>
          </w:tcPr>
          <w:p w:rsidR="00500EA3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00EA3" w:rsidRPr="00184E1B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500EA3" w:rsidRPr="00184E1B" w:rsidRDefault="00EE5569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00EA3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500EA3" w:rsidRPr="00184E1B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500EA3" w:rsidRPr="00184E1B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500EA3" w:rsidRPr="00184E1B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4.26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Шоссейная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9B582B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B582B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4.27</w:t>
            </w:r>
          </w:p>
        </w:tc>
        <w:tc>
          <w:tcPr>
            <w:tcW w:w="3978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от трассы до СНТ «Скиф»</w:t>
            </w:r>
          </w:p>
        </w:tc>
        <w:tc>
          <w:tcPr>
            <w:tcW w:w="851" w:type="dxa"/>
            <w:shd w:val="clear" w:color="auto" w:fill="FFFFFF" w:themeFill="background1"/>
          </w:tcPr>
          <w:p w:rsidR="009B582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C747E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2C747E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4.28</w:t>
            </w:r>
          </w:p>
        </w:tc>
        <w:tc>
          <w:tcPr>
            <w:tcW w:w="3978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дорожного полотна по ул. Юности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2C747E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4.29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Жемчужная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4.30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184E1B">
              <w:rPr>
                <w:rFonts w:ascii="Times New Roman" w:hAnsi="Times New Roman"/>
              </w:rPr>
              <w:t>Школьная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EE5569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4.31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184E1B">
              <w:rPr>
                <w:rFonts w:ascii="Times New Roman" w:hAnsi="Times New Roman"/>
              </w:rPr>
              <w:t>с</w:t>
            </w:r>
            <w:proofErr w:type="gramEnd"/>
            <w:r w:rsidRPr="00184E1B">
              <w:rPr>
                <w:rFonts w:ascii="Times New Roman" w:hAnsi="Times New Roman"/>
              </w:rPr>
              <w:t xml:space="preserve">. </w:t>
            </w:r>
            <w:proofErr w:type="gramStart"/>
            <w:r w:rsidRPr="00184E1B">
              <w:rPr>
                <w:rFonts w:ascii="Times New Roman" w:hAnsi="Times New Roman"/>
              </w:rPr>
              <w:t>им</w:t>
            </w:r>
            <w:proofErr w:type="gramEnd"/>
            <w:r w:rsidRPr="00184E1B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300,0</w:t>
            </w:r>
          </w:p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4.32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184E1B">
              <w:rPr>
                <w:rFonts w:ascii="Times New Roman" w:hAnsi="Times New Roman"/>
              </w:rPr>
              <w:t>с</w:t>
            </w:r>
            <w:proofErr w:type="gramEnd"/>
            <w:r w:rsidRPr="00184E1B">
              <w:rPr>
                <w:rFonts w:ascii="Times New Roman" w:hAnsi="Times New Roman"/>
              </w:rPr>
              <w:t xml:space="preserve">. </w:t>
            </w:r>
            <w:proofErr w:type="gramStart"/>
            <w:r w:rsidRPr="00184E1B">
              <w:rPr>
                <w:rFonts w:ascii="Times New Roman" w:hAnsi="Times New Roman"/>
              </w:rPr>
              <w:t>им</w:t>
            </w:r>
            <w:proofErr w:type="gramEnd"/>
            <w:r w:rsidRPr="00184E1B">
              <w:rPr>
                <w:rFonts w:ascii="Times New Roman" w:hAnsi="Times New Roman"/>
              </w:rPr>
              <w:t>. Тельмана ул. Набережная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5C5AE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742B4"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D8116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42B4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4.33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184E1B">
              <w:rPr>
                <w:rFonts w:ascii="Times New Roman" w:hAnsi="Times New Roman"/>
              </w:rPr>
              <w:t>с</w:t>
            </w:r>
            <w:proofErr w:type="gramEnd"/>
            <w:r w:rsidRPr="00184E1B">
              <w:rPr>
                <w:rFonts w:ascii="Times New Roman" w:hAnsi="Times New Roman"/>
              </w:rPr>
              <w:t xml:space="preserve">. </w:t>
            </w:r>
            <w:proofErr w:type="gramStart"/>
            <w:r w:rsidRPr="00184E1B">
              <w:rPr>
                <w:rFonts w:ascii="Times New Roman" w:hAnsi="Times New Roman"/>
              </w:rPr>
              <w:t>им</w:t>
            </w:r>
            <w:proofErr w:type="gramEnd"/>
            <w:r w:rsidRPr="00184E1B">
              <w:rPr>
                <w:rFonts w:ascii="Times New Roman" w:hAnsi="Times New Roman"/>
              </w:rPr>
              <w:t>. Тельмана ул. Калинина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4.34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184E1B">
              <w:rPr>
                <w:rFonts w:ascii="Times New Roman" w:hAnsi="Times New Roman"/>
              </w:rPr>
              <w:t>с</w:t>
            </w:r>
            <w:proofErr w:type="gramEnd"/>
            <w:r w:rsidRPr="00184E1B">
              <w:rPr>
                <w:rFonts w:ascii="Times New Roman" w:hAnsi="Times New Roman"/>
              </w:rPr>
              <w:t xml:space="preserve">. </w:t>
            </w:r>
            <w:proofErr w:type="gramStart"/>
            <w:r w:rsidRPr="00184E1B">
              <w:rPr>
                <w:rFonts w:ascii="Times New Roman" w:hAnsi="Times New Roman"/>
              </w:rPr>
              <w:t>им</w:t>
            </w:r>
            <w:proofErr w:type="gramEnd"/>
            <w:r w:rsidRPr="00184E1B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4.35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184E1B">
              <w:rPr>
                <w:rFonts w:ascii="Times New Roman" w:hAnsi="Times New Roman"/>
              </w:rPr>
              <w:t>Театральная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4.36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 w:rsidRPr="00184E1B">
              <w:rPr>
                <w:rFonts w:ascii="Times New Roman" w:hAnsi="Times New Roman"/>
              </w:rPr>
              <w:t>полотна</w:t>
            </w:r>
            <w:proofErr w:type="gramEnd"/>
            <w:r w:rsidRPr="00184E1B">
              <w:rPr>
                <w:rFonts w:ascii="Times New Roman" w:hAnsi="Times New Roman"/>
              </w:rPr>
              <w:t xml:space="preserve"> а/д «Владимировка-Осиновка»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4.37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Восстановление электроосвещения автомобильных дорог </w:t>
            </w:r>
            <w:r w:rsidR="005E6B1C">
              <w:rPr>
                <w:rFonts w:ascii="Times New Roman" w:hAnsi="Times New Roman"/>
              </w:rPr>
              <w:t>по ул. Гоголя, пер. Гоголя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5E6B1C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849C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961A03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61A03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4.38</w:t>
            </w:r>
          </w:p>
        </w:tc>
        <w:tc>
          <w:tcPr>
            <w:tcW w:w="3978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тротуаров по ул. Вокзальная, Амурская, Дзержинского, Островского, пер. Гоголя</w:t>
            </w:r>
          </w:p>
        </w:tc>
        <w:tc>
          <w:tcPr>
            <w:tcW w:w="851" w:type="dxa"/>
            <w:shd w:val="clear" w:color="auto" w:fill="FFFFFF" w:themeFill="background1"/>
          </w:tcPr>
          <w:p w:rsidR="00961A03" w:rsidRPr="00184E1B" w:rsidRDefault="003849C2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62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62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961A03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61A03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4.39</w:t>
            </w:r>
          </w:p>
        </w:tc>
        <w:tc>
          <w:tcPr>
            <w:tcW w:w="3978" w:type="dxa"/>
            <w:shd w:val="clear" w:color="auto" w:fill="FFFFFF" w:themeFill="background1"/>
          </w:tcPr>
          <w:p w:rsidR="00961A03" w:rsidRDefault="00961A0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проезжей части дворовой территории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>, 26, 26а</w:t>
            </w:r>
          </w:p>
        </w:tc>
        <w:tc>
          <w:tcPr>
            <w:tcW w:w="851" w:type="dxa"/>
            <w:shd w:val="clear" w:color="auto" w:fill="FFFFFF" w:themeFill="background1"/>
          </w:tcPr>
          <w:p w:rsidR="00961A03" w:rsidRDefault="003849C2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1A03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961A03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</w:tbl>
    <w:p w:rsidR="00212E0A" w:rsidRPr="00D71C11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0B447C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b/>
          <w:sz w:val="26"/>
          <w:szCs w:val="26"/>
        </w:rPr>
        <w:t>7</w:t>
      </w:r>
      <w:r w:rsidR="00212E0A" w:rsidRPr="000B447C">
        <w:rPr>
          <w:rFonts w:ascii="Times New Roman" w:hAnsi="Times New Roman"/>
          <w:b/>
          <w:sz w:val="26"/>
          <w:szCs w:val="26"/>
        </w:rPr>
        <w:t>.</w:t>
      </w:r>
      <w:r w:rsidRPr="000B447C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0B447C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D80B11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 xml:space="preserve"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</w:t>
      </w:r>
    </w:p>
    <w:p w:rsidR="00212E0A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проблемы обеспечения безопасности дорожного движения, а также реальная возможность ее решения.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134"/>
        <w:gridCol w:w="992"/>
        <w:gridCol w:w="992"/>
        <w:gridCol w:w="851"/>
      </w:tblGrid>
      <w:tr w:rsidR="00212E0A" w:rsidRPr="00E203E3" w:rsidTr="003D36F1">
        <w:trPr>
          <w:trHeight w:val="521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№ </w:t>
            </w:r>
            <w:proofErr w:type="gramStart"/>
            <w:r w:rsidRPr="00E203E3">
              <w:rPr>
                <w:szCs w:val="24"/>
              </w:rPr>
              <w:t>п</w:t>
            </w:r>
            <w:proofErr w:type="gramEnd"/>
            <w:r w:rsidRPr="00E203E3">
              <w:rPr>
                <w:szCs w:val="24"/>
              </w:rPr>
              <w:t>/п</w:t>
            </w:r>
          </w:p>
        </w:tc>
        <w:tc>
          <w:tcPr>
            <w:tcW w:w="4962" w:type="dxa"/>
            <w:gridSpan w:val="2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Наименование </w:t>
            </w:r>
          </w:p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3969" w:type="dxa"/>
            <w:gridSpan w:val="4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962" w:type="dxa"/>
            <w:gridSpan w:val="2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E203E3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Всего</w:t>
            </w:r>
          </w:p>
        </w:tc>
        <w:tc>
          <w:tcPr>
            <w:tcW w:w="992" w:type="dxa"/>
          </w:tcPr>
          <w:p w:rsidR="00212E0A" w:rsidRPr="00E203E3" w:rsidRDefault="000B5827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92" w:type="dxa"/>
          </w:tcPr>
          <w:p w:rsidR="00212E0A" w:rsidRPr="00E203E3" w:rsidRDefault="000B5827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212E0A" w:rsidRPr="00E203E3" w:rsidRDefault="000B582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</w:tr>
      <w:tr w:rsidR="00333E88" w:rsidRPr="00E203E3" w:rsidTr="003D36F1">
        <w:tc>
          <w:tcPr>
            <w:tcW w:w="675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212E0A" w:rsidRPr="00E203E3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0B5827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16618,56</w:t>
            </w:r>
          </w:p>
        </w:tc>
        <w:tc>
          <w:tcPr>
            <w:tcW w:w="992" w:type="dxa"/>
          </w:tcPr>
          <w:p w:rsidR="00212E0A" w:rsidRPr="00E203E3" w:rsidRDefault="000B5827" w:rsidP="00500EA3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4966,24</w:t>
            </w:r>
          </w:p>
        </w:tc>
        <w:tc>
          <w:tcPr>
            <w:tcW w:w="992" w:type="dxa"/>
          </w:tcPr>
          <w:p w:rsidR="00212E0A" w:rsidRPr="00E203E3" w:rsidRDefault="000B5827" w:rsidP="003D36F1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5826,16</w:t>
            </w:r>
          </w:p>
        </w:tc>
        <w:tc>
          <w:tcPr>
            <w:tcW w:w="851" w:type="dxa"/>
          </w:tcPr>
          <w:p w:rsidR="00212E0A" w:rsidRPr="00E203E3" w:rsidRDefault="000B5827" w:rsidP="003D5E28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5826,16</w:t>
            </w:r>
          </w:p>
        </w:tc>
      </w:tr>
      <w:tr w:rsidR="00333E88" w:rsidRPr="00E203E3" w:rsidTr="003D36F1">
        <w:trPr>
          <w:trHeight w:val="583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1.1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0C056B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2750,0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0C056B" w:rsidRDefault="000C056B" w:rsidP="007F5010">
            <w:pPr>
              <w:pStyle w:val="ConsPlusNormal"/>
              <w:ind w:left="-156" w:right="-94" w:firstLine="75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1000</w:t>
            </w:r>
            <w:r>
              <w:rPr>
                <w:b/>
                <w:szCs w:val="24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0C056B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2750,0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7F5010" w:rsidRDefault="000C056B" w:rsidP="003D5E28">
            <w:pPr>
              <w:pStyle w:val="ConsPlusNormal"/>
              <w:ind w:left="-156" w:right="-94" w:firstLine="75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1.3</w:t>
            </w:r>
          </w:p>
        </w:tc>
        <w:tc>
          <w:tcPr>
            <w:tcW w:w="3402" w:type="dxa"/>
            <w:vMerge w:val="restart"/>
          </w:tcPr>
          <w:p w:rsidR="00212E0A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>Безопасность дорожного движения</w:t>
            </w:r>
            <w:r w:rsidR="00212E0A" w:rsidRPr="00E203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7576C7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120,0</w:t>
            </w:r>
          </w:p>
        </w:tc>
        <w:tc>
          <w:tcPr>
            <w:tcW w:w="992" w:type="dxa"/>
          </w:tcPr>
          <w:p w:rsidR="00212E0A" w:rsidRPr="00E203E3" w:rsidRDefault="002C747E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60,0</w:t>
            </w:r>
          </w:p>
        </w:tc>
        <w:tc>
          <w:tcPr>
            <w:tcW w:w="992" w:type="dxa"/>
          </w:tcPr>
          <w:p w:rsidR="00212E0A" w:rsidRPr="00E203E3" w:rsidRDefault="00A54D64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E203E3" w:rsidRDefault="007576C7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120,0</w:t>
            </w:r>
          </w:p>
        </w:tc>
        <w:tc>
          <w:tcPr>
            <w:tcW w:w="992" w:type="dxa"/>
          </w:tcPr>
          <w:p w:rsidR="00212E0A" w:rsidRPr="00E203E3" w:rsidRDefault="002C747E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992" w:type="dxa"/>
          </w:tcPr>
          <w:p w:rsidR="00212E0A" w:rsidRPr="00E203E3" w:rsidRDefault="00A54D64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1.4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E203E3">
              <w:rPr>
                <w:rFonts w:ascii="Times New Roman" w:hAnsi="Times New Roman"/>
                <w:sz w:val="24"/>
                <w:szCs w:val="24"/>
              </w:rPr>
              <w:t>(</w:t>
            </w:r>
            <w:r w:rsidRPr="00E203E3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E203E3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0C056B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11498,56</w:t>
            </w:r>
          </w:p>
          <w:p w:rsidR="00CB1E3E" w:rsidRPr="00E203E3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212E0A" w:rsidRPr="00E203E3" w:rsidRDefault="000C056B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3156,24</w:t>
            </w:r>
          </w:p>
        </w:tc>
        <w:tc>
          <w:tcPr>
            <w:tcW w:w="992" w:type="dxa"/>
          </w:tcPr>
          <w:p w:rsidR="00212E0A" w:rsidRPr="00E203E3" w:rsidRDefault="000C056B" w:rsidP="003D36F1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3861,16</w:t>
            </w:r>
          </w:p>
        </w:tc>
        <w:tc>
          <w:tcPr>
            <w:tcW w:w="851" w:type="dxa"/>
          </w:tcPr>
          <w:p w:rsidR="00212E0A" w:rsidRPr="00E203E3" w:rsidRDefault="000C056B" w:rsidP="008148F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4481,16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0C056B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11498,56</w:t>
            </w:r>
          </w:p>
        </w:tc>
        <w:tc>
          <w:tcPr>
            <w:tcW w:w="992" w:type="dxa"/>
          </w:tcPr>
          <w:p w:rsidR="00D80B11" w:rsidRPr="00E203E3" w:rsidRDefault="000C056B" w:rsidP="00500EA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3156,24</w:t>
            </w:r>
          </w:p>
        </w:tc>
        <w:tc>
          <w:tcPr>
            <w:tcW w:w="992" w:type="dxa"/>
          </w:tcPr>
          <w:p w:rsidR="00D80B11" w:rsidRPr="00E203E3" w:rsidRDefault="000C056B" w:rsidP="003D36F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3861,16</w:t>
            </w:r>
          </w:p>
        </w:tc>
        <w:tc>
          <w:tcPr>
            <w:tcW w:w="851" w:type="dxa"/>
          </w:tcPr>
          <w:p w:rsidR="00D80B11" w:rsidRPr="00E203E3" w:rsidRDefault="000C056B" w:rsidP="008148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4481,16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1.5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 xml:space="preserve"> </w:t>
            </w:r>
            <w:r w:rsidR="00E60542" w:rsidRPr="00E203E3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0C056B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2150,0</w:t>
            </w:r>
          </w:p>
        </w:tc>
        <w:tc>
          <w:tcPr>
            <w:tcW w:w="992" w:type="dxa"/>
          </w:tcPr>
          <w:p w:rsidR="00212E0A" w:rsidRPr="00E203E3" w:rsidRDefault="00212E0A" w:rsidP="000C056B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 xml:space="preserve">   </w:t>
            </w:r>
            <w:r w:rsidR="000C056B">
              <w:rPr>
                <w:b/>
                <w:szCs w:val="24"/>
              </w:rPr>
              <w:t>650,0</w:t>
            </w:r>
          </w:p>
        </w:tc>
        <w:tc>
          <w:tcPr>
            <w:tcW w:w="992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1000,0</w:t>
            </w:r>
          </w:p>
        </w:tc>
        <w:tc>
          <w:tcPr>
            <w:tcW w:w="851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5</w:t>
            </w:r>
            <w:r w:rsidR="00601F9A" w:rsidRPr="00E203E3">
              <w:rPr>
                <w:b/>
                <w:szCs w:val="24"/>
              </w:rPr>
              <w:t>00,</w:t>
            </w:r>
            <w:r w:rsidR="00D80B11" w:rsidRPr="00E203E3">
              <w:rPr>
                <w:b/>
                <w:szCs w:val="24"/>
              </w:rPr>
              <w:t>0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0C056B" w:rsidP="002D0F7C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2150,0</w:t>
            </w:r>
          </w:p>
        </w:tc>
        <w:tc>
          <w:tcPr>
            <w:tcW w:w="992" w:type="dxa"/>
          </w:tcPr>
          <w:p w:rsidR="00D80B11" w:rsidRPr="00E203E3" w:rsidRDefault="000C056B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650,0</w:t>
            </w:r>
          </w:p>
        </w:tc>
        <w:tc>
          <w:tcPr>
            <w:tcW w:w="992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1000,0</w:t>
            </w:r>
          </w:p>
        </w:tc>
        <w:tc>
          <w:tcPr>
            <w:tcW w:w="851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5</w:t>
            </w:r>
            <w:r w:rsidR="00601F9A" w:rsidRPr="00E203E3">
              <w:rPr>
                <w:szCs w:val="24"/>
              </w:rPr>
              <w:t>0</w:t>
            </w:r>
            <w:r w:rsidR="00B6108F" w:rsidRPr="00E203E3">
              <w:rPr>
                <w:szCs w:val="24"/>
              </w:rPr>
              <w:t>0</w:t>
            </w:r>
            <w:r w:rsidR="00D80B11" w:rsidRPr="00E203E3">
              <w:rPr>
                <w:szCs w:val="24"/>
              </w:rPr>
              <w:t>,0</w:t>
            </w:r>
          </w:p>
        </w:tc>
      </w:tr>
      <w:tr w:rsidR="00342EAD" w:rsidRPr="00E203E3" w:rsidTr="003D36F1">
        <w:tc>
          <w:tcPr>
            <w:tcW w:w="675" w:type="dxa"/>
            <w:vMerge w:val="restart"/>
          </w:tcPr>
          <w:p w:rsidR="00342EAD" w:rsidRPr="00E203E3" w:rsidRDefault="00342EAD" w:rsidP="00342EAD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</w:t>
            </w:r>
            <w:r>
              <w:rPr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342EAD" w:rsidRPr="00E203E3" w:rsidRDefault="00342EAD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E203E3" w:rsidRDefault="007576C7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2C747E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342EAD" w:rsidRPr="00E203E3" w:rsidTr="003D36F1">
        <w:tc>
          <w:tcPr>
            <w:tcW w:w="675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E203E3" w:rsidRDefault="007576C7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2C747E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212E0A" w:rsidRPr="000B447C" w:rsidRDefault="00212E0A" w:rsidP="00212E0A">
      <w:pPr>
        <w:pStyle w:val="ConsPlusNormal"/>
        <w:rPr>
          <w:color w:val="FF0000"/>
          <w:sz w:val="26"/>
          <w:szCs w:val="26"/>
          <w:highlight w:val="yellow"/>
        </w:rPr>
      </w:pPr>
    </w:p>
    <w:sectPr w:rsidR="00212E0A" w:rsidRPr="000B447C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30D42"/>
    <w:rsid w:val="000375A7"/>
    <w:rsid w:val="00042443"/>
    <w:rsid w:val="00045AB2"/>
    <w:rsid w:val="000462CE"/>
    <w:rsid w:val="00047DA9"/>
    <w:rsid w:val="0005432C"/>
    <w:rsid w:val="000546AC"/>
    <w:rsid w:val="0005615B"/>
    <w:rsid w:val="00066A26"/>
    <w:rsid w:val="00070352"/>
    <w:rsid w:val="000742B4"/>
    <w:rsid w:val="00080CEF"/>
    <w:rsid w:val="00090CA2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2158"/>
    <w:rsid w:val="000D3FF0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7310"/>
    <w:rsid w:val="001C552D"/>
    <w:rsid w:val="001D3415"/>
    <w:rsid w:val="001D5D23"/>
    <w:rsid w:val="001E3CA3"/>
    <w:rsid w:val="001E7B95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42BD"/>
    <w:rsid w:val="002F5A6E"/>
    <w:rsid w:val="00305FB9"/>
    <w:rsid w:val="00310173"/>
    <w:rsid w:val="00313819"/>
    <w:rsid w:val="0032134E"/>
    <w:rsid w:val="00323008"/>
    <w:rsid w:val="00323E34"/>
    <w:rsid w:val="00324C82"/>
    <w:rsid w:val="003250C5"/>
    <w:rsid w:val="00332055"/>
    <w:rsid w:val="00333E88"/>
    <w:rsid w:val="00342708"/>
    <w:rsid w:val="00342EAD"/>
    <w:rsid w:val="00362DDF"/>
    <w:rsid w:val="00363E55"/>
    <w:rsid w:val="003728DD"/>
    <w:rsid w:val="00373E94"/>
    <w:rsid w:val="003760FF"/>
    <w:rsid w:val="00376266"/>
    <w:rsid w:val="0037754C"/>
    <w:rsid w:val="00380593"/>
    <w:rsid w:val="003849C2"/>
    <w:rsid w:val="00392057"/>
    <w:rsid w:val="003A2319"/>
    <w:rsid w:val="003A7FBD"/>
    <w:rsid w:val="003B46F5"/>
    <w:rsid w:val="003B5029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46357"/>
    <w:rsid w:val="00447F76"/>
    <w:rsid w:val="004544F0"/>
    <w:rsid w:val="00454AFE"/>
    <w:rsid w:val="0046301A"/>
    <w:rsid w:val="00466ADD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5651"/>
    <w:rsid w:val="004A1732"/>
    <w:rsid w:val="004A4B62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80302"/>
    <w:rsid w:val="00590508"/>
    <w:rsid w:val="005B3087"/>
    <w:rsid w:val="005B6944"/>
    <w:rsid w:val="005B6C80"/>
    <w:rsid w:val="005C5114"/>
    <w:rsid w:val="005C5AE1"/>
    <w:rsid w:val="005D2DF9"/>
    <w:rsid w:val="005D5A0B"/>
    <w:rsid w:val="005E1D59"/>
    <w:rsid w:val="005E2890"/>
    <w:rsid w:val="005E2A45"/>
    <w:rsid w:val="005E2AE9"/>
    <w:rsid w:val="005E35C7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34E6"/>
    <w:rsid w:val="00694FB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A2694"/>
    <w:rsid w:val="007A5519"/>
    <w:rsid w:val="007A6EB9"/>
    <w:rsid w:val="007B0F20"/>
    <w:rsid w:val="007B20DD"/>
    <w:rsid w:val="007B660C"/>
    <w:rsid w:val="007B79DB"/>
    <w:rsid w:val="007C4FEA"/>
    <w:rsid w:val="007C6C20"/>
    <w:rsid w:val="007C7EB2"/>
    <w:rsid w:val="007D5BC3"/>
    <w:rsid w:val="007D6C95"/>
    <w:rsid w:val="007E0826"/>
    <w:rsid w:val="007E2949"/>
    <w:rsid w:val="007E4CDD"/>
    <w:rsid w:val="007E5E97"/>
    <w:rsid w:val="007E60CA"/>
    <w:rsid w:val="007F4C7E"/>
    <w:rsid w:val="007F5010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81FFE"/>
    <w:rsid w:val="0088219B"/>
    <w:rsid w:val="00890231"/>
    <w:rsid w:val="00891340"/>
    <w:rsid w:val="008935A4"/>
    <w:rsid w:val="0089731B"/>
    <w:rsid w:val="008A1B01"/>
    <w:rsid w:val="008A58DF"/>
    <w:rsid w:val="008A5C7E"/>
    <w:rsid w:val="008B2DCC"/>
    <w:rsid w:val="008B3A06"/>
    <w:rsid w:val="008B61A6"/>
    <w:rsid w:val="008C476D"/>
    <w:rsid w:val="008C4CD5"/>
    <w:rsid w:val="008D214D"/>
    <w:rsid w:val="008D540A"/>
    <w:rsid w:val="008E1EC9"/>
    <w:rsid w:val="008E2017"/>
    <w:rsid w:val="008E214A"/>
    <w:rsid w:val="008E746D"/>
    <w:rsid w:val="008F7E0E"/>
    <w:rsid w:val="009022F7"/>
    <w:rsid w:val="00903F78"/>
    <w:rsid w:val="0090662B"/>
    <w:rsid w:val="00907509"/>
    <w:rsid w:val="00914F9B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6F2"/>
    <w:rsid w:val="00A2111C"/>
    <w:rsid w:val="00A2466E"/>
    <w:rsid w:val="00A26F92"/>
    <w:rsid w:val="00A32ED4"/>
    <w:rsid w:val="00A53C51"/>
    <w:rsid w:val="00A54D64"/>
    <w:rsid w:val="00A65921"/>
    <w:rsid w:val="00A7219B"/>
    <w:rsid w:val="00A81371"/>
    <w:rsid w:val="00A91068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5273"/>
    <w:rsid w:val="00C27CB8"/>
    <w:rsid w:val="00C3070F"/>
    <w:rsid w:val="00C31A61"/>
    <w:rsid w:val="00C32560"/>
    <w:rsid w:val="00C40C75"/>
    <w:rsid w:val="00C47E83"/>
    <w:rsid w:val="00C53551"/>
    <w:rsid w:val="00C548F4"/>
    <w:rsid w:val="00C55954"/>
    <w:rsid w:val="00C57C49"/>
    <w:rsid w:val="00C614CE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B0FF4"/>
    <w:rsid w:val="00CB1E3E"/>
    <w:rsid w:val="00CB6307"/>
    <w:rsid w:val="00CC16B8"/>
    <w:rsid w:val="00CD02B4"/>
    <w:rsid w:val="00CD7E9A"/>
    <w:rsid w:val="00CE3251"/>
    <w:rsid w:val="00D03460"/>
    <w:rsid w:val="00D03A32"/>
    <w:rsid w:val="00D0767A"/>
    <w:rsid w:val="00D13CEE"/>
    <w:rsid w:val="00D14664"/>
    <w:rsid w:val="00D21E7D"/>
    <w:rsid w:val="00D25436"/>
    <w:rsid w:val="00D26751"/>
    <w:rsid w:val="00D341EB"/>
    <w:rsid w:val="00D371DA"/>
    <w:rsid w:val="00D44721"/>
    <w:rsid w:val="00D44FB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6152"/>
    <w:rsid w:val="00D86968"/>
    <w:rsid w:val="00D9206A"/>
    <w:rsid w:val="00D94939"/>
    <w:rsid w:val="00D96970"/>
    <w:rsid w:val="00DA6FBD"/>
    <w:rsid w:val="00DA765B"/>
    <w:rsid w:val="00DB3767"/>
    <w:rsid w:val="00DB6861"/>
    <w:rsid w:val="00DC2661"/>
    <w:rsid w:val="00DD0361"/>
    <w:rsid w:val="00DD3211"/>
    <w:rsid w:val="00DD51A3"/>
    <w:rsid w:val="00DE1898"/>
    <w:rsid w:val="00DE30D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91639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2923"/>
    <w:rsid w:val="00ED1F82"/>
    <w:rsid w:val="00ED4835"/>
    <w:rsid w:val="00EE1E7A"/>
    <w:rsid w:val="00EE4A85"/>
    <w:rsid w:val="00EE5569"/>
    <w:rsid w:val="00EF5536"/>
    <w:rsid w:val="00F0162F"/>
    <w:rsid w:val="00F040AA"/>
    <w:rsid w:val="00F10D4C"/>
    <w:rsid w:val="00F124C5"/>
    <w:rsid w:val="00F128D9"/>
    <w:rsid w:val="00F140BC"/>
    <w:rsid w:val="00F141AA"/>
    <w:rsid w:val="00F21075"/>
    <w:rsid w:val="00F309AA"/>
    <w:rsid w:val="00F4075A"/>
    <w:rsid w:val="00F43D99"/>
    <w:rsid w:val="00F55E1A"/>
    <w:rsid w:val="00F56080"/>
    <w:rsid w:val="00F57A83"/>
    <w:rsid w:val="00F7090A"/>
    <w:rsid w:val="00F70B46"/>
    <w:rsid w:val="00F70F21"/>
    <w:rsid w:val="00F802EF"/>
    <w:rsid w:val="00F8086B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9DB8-AB78-4D9F-AFF0-43BF4C37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11870</TotalTime>
  <Pages>10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360</cp:revision>
  <cp:lastPrinted>2022-01-10T06:57:00Z</cp:lastPrinted>
  <dcterms:created xsi:type="dcterms:W3CDTF">2017-10-16T00:01:00Z</dcterms:created>
  <dcterms:modified xsi:type="dcterms:W3CDTF">2022-01-11T00:04:00Z</dcterms:modified>
</cp:coreProperties>
</file>