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4" w:rsidRDefault="00CB0124" w:rsidP="00CB0124">
      <w:pPr>
        <w:widowControl w:val="0"/>
        <w:shd w:val="clear" w:color="auto" w:fill="FFFFFF"/>
        <w:autoSpaceDE w:val="0"/>
        <w:ind w:right="72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Смидовичского муниципального района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Еврейской автономной области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СОБРАНИЕ ДЕПУТАТОВ </w:t>
      </w: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РЕШЕНИЕ</w:t>
      </w:r>
    </w:p>
    <w:p w:rsidR="00CB0124" w:rsidRDefault="00B04D59" w:rsidP="00CB0124">
      <w:pPr>
        <w:widowControl w:val="0"/>
        <w:shd w:val="clear" w:color="auto" w:fill="FFFFFF"/>
        <w:autoSpaceDE w:val="0"/>
        <w:ind w:right="33"/>
        <w:rPr>
          <w:sz w:val="28"/>
          <w:szCs w:val="28"/>
        </w:rPr>
      </w:pPr>
      <w:r>
        <w:rPr>
          <w:sz w:val="28"/>
        </w:rPr>
        <w:t>28.11.2024</w:t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  <w:t xml:space="preserve">              </w:t>
      </w:r>
      <w:r w:rsidR="002C257A">
        <w:rPr>
          <w:sz w:val="28"/>
        </w:rPr>
        <w:t xml:space="preserve">    </w:t>
      </w:r>
      <w:r w:rsidR="00E53EBE">
        <w:rPr>
          <w:sz w:val="28"/>
        </w:rPr>
        <w:t xml:space="preserve">          </w:t>
      </w:r>
      <w:r w:rsidR="00472EDE">
        <w:rPr>
          <w:sz w:val="28"/>
        </w:rPr>
        <w:t xml:space="preserve">      </w:t>
      </w:r>
      <w:r w:rsidR="00E53EBE">
        <w:rPr>
          <w:sz w:val="28"/>
        </w:rPr>
        <w:t xml:space="preserve">  </w:t>
      </w:r>
      <w:r w:rsidR="00472EDE">
        <w:rPr>
          <w:sz w:val="28"/>
        </w:rPr>
        <w:t xml:space="preserve">       </w:t>
      </w:r>
      <w:r w:rsidR="00CB0124">
        <w:rPr>
          <w:sz w:val="28"/>
          <w:szCs w:val="28"/>
        </w:rPr>
        <w:t>№</w:t>
      </w:r>
      <w:r w:rsidR="006128F8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12"/>
          <w:szCs w:val="12"/>
        </w:rPr>
      </w:pPr>
    </w:p>
    <w:p w:rsidR="009E77E2" w:rsidRDefault="009E77E2" w:rsidP="00CB0124">
      <w:pPr>
        <w:widowControl w:val="0"/>
        <w:shd w:val="clear" w:color="auto" w:fill="FFFFFF"/>
        <w:autoSpaceDE w:val="0"/>
        <w:ind w:right="-15"/>
        <w:jc w:val="both"/>
        <w:rPr>
          <w:sz w:val="28"/>
          <w:szCs w:val="28"/>
        </w:rPr>
      </w:pPr>
    </w:p>
    <w:p w:rsidR="00573DF3" w:rsidRDefault="00573DF3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утвержденный решением Собрания депутатов</w:t>
      </w:r>
      <w:r w:rsidR="00794C3C">
        <w:rPr>
          <w:sz w:val="28"/>
          <w:szCs w:val="28"/>
        </w:rPr>
        <w:t xml:space="preserve"> </w:t>
      </w:r>
      <w:r w:rsidR="0059554A">
        <w:rPr>
          <w:sz w:val="28"/>
          <w:szCs w:val="28"/>
        </w:rPr>
        <w:t>от 21.03.2024</w:t>
      </w:r>
      <w:r w:rsidR="00AE48C2">
        <w:rPr>
          <w:sz w:val="28"/>
          <w:szCs w:val="28"/>
        </w:rPr>
        <w:t xml:space="preserve"> </w:t>
      </w:r>
      <w:r w:rsidR="0059554A">
        <w:rPr>
          <w:sz w:val="28"/>
          <w:szCs w:val="28"/>
        </w:rPr>
        <w:t>г</w:t>
      </w:r>
      <w:r w:rsidR="00AE48C2">
        <w:rPr>
          <w:sz w:val="28"/>
          <w:szCs w:val="28"/>
        </w:rPr>
        <w:t>ода</w:t>
      </w:r>
      <w:r w:rsidR="0059554A">
        <w:rPr>
          <w:sz w:val="28"/>
          <w:szCs w:val="28"/>
        </w:rPr>
        <w:t xml:space="preserve"> № 58</w:t>
      </w:r>
    </w:p>
    <w:p w:rsidR="00573DF3" w:rsidRDefault="00573DF3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CB0124" w:rsidRPr="00472EDE" w:rsidRDefault="00CB0124" w:rsidP="00472EDE">
      <w:pPr>
        <w:widowControl w:val="0"/>
        <w:shd w:val="clear" w:color="auto" w:fill="FFFFFF"/>
        <w:autoSpaceDE w:val="0"/>
        <w:spacing w:line="276" w:lineRule="auto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EDE">
        <w:rPr>
          <w:sz w:val="28"/>
          <w:szCs w:val="28"/>
        </w:rPr>
        <w:t xml:space="preserve">В </w:t>
      </w:r>
      <w:r w:rsidR="002C257A" w:rsidRPr="00472EDE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на основании Устава муниципального образования «Приамурское городское поселение» Собрание депутатов </w:t>
      </w:r>
    </w:p>
    <w:p w:rsidR="006128F8" w:rsidRPr="00472EDE" w:rsidRDefault="00CB0124" w:rsidP="00472EDE">
      <w:pPr>
        <w:widowControl w:val="0"/>
        <w:shd w:val="clear" w:color="auto" w:fill="FFFFFF"/>
        <w:autoSpaceDE w:val="0"/>
        <w:spacing w:before="5" w:line="276" w:lineRule="auto"/>
        <w:ind w:right="-35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РЕШИЛО:</w:t>
      </w:r>
    </w:p>
    <w:p w:rsidR="00573DF3" w:rsidRPr="00472EDE" w:rsidRDefault="00573DF3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before="5" w:line="276" w:lineRule="auto"/>
        <w:ind w:left="0" w:right="-35" w:firstLine="709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Внести в Реестр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утвержденный решением Собрания депутатов от </w:t>
      </w:r>
      <w:r w:rsidR="009A2D7F">
        <w:rPr>
          <w:sz w:val="28"/>
          <w:szCs w:val="28"/>
        </w:rPr>
        <w:t xml:space="preserve">21.03.2024 года № 58 </w:t>
      </w:r>
      <w:r w:rsidRPr="00472EDE">
        <w:rPr>
          <w:sz w:val="28"/>
          <w:szCs w:val="28"/>
        </w:rPr>
        <w:t>следующие изменения:</w:t>
      </w:r>
    </w:p>
    <w:p w:rsidR="00007434" w:rsidRDefault="00007434" w:rsidP="00472EDE">
      <w:pPr>
        <w:pStyle w:val="a4"/>
        <w:widowControl w:val="0"/>
        <w:numPr>
          <w:ilvl w:val="1"/>
          <w:numId w:val="4"/>
        </w:numPr>
        <w:shd w:val="clear" w:color="auto" w:fill="FFFFFF"/>
        <w:autoSpaceDE w:val="0"/>
        <w:spacing w:before="5" w:line="276" w:lineRule="auto"/>
        <w:ind w:left="0" w:right="-35" w:firstLine="709"/>
        <w:jc w:val="both"/>
        <w:rPr>
          <w:sz w:val="28"/>
          <w:szCs w:val="28"/>
        </w:rPr>
      </w:pPr>
      <w:r w:rsidRPr="00007434">
        <w:rPr>
          <w:sz w:val="28"/>
          <w:szCs w:val="28"/>
        </w:rPr>
        <w:t>Из р</w:t>
      </w:r>
      <w:r w:rsidR="004C0230" w:rsidRPr="00007434">
        <w:rPr>
          <w:sz w:val="28"/>
          <w:szCs w:val="28"/>
        </w:rPr>
        <w:t xml:space="preserve">аздел 2 «Сведения о муниципальном </w:t>
      </w:r>
      <w:r w:rsidR="003F76A2" w:rsidRPr="00007434">
        <w:rPr>
          <w:sz w:val="28"/>
          <w:szCs w:val="28"/>
        </w:rPr>
        <w:t>движимом имуществе»</w:t>
      </w:r>
      <w:r w:rsidR="002727A9" w:rsidRPr="00007434">
        <w:rPr>
          <w:sz w:val="28"/>
          <w:szCs w:val="28"/>
        </w:rPr>
        <w:t xml:space="preserve"> реестра муниципального имущества муниципального имущества муниципального образования «Приамурское городское поселение»</w:t>
      </w:r>
      <w:r w:rsidR="003F76A2" w:rsidRPr="00007434">
        <w:rPr>
          <w:sz w:val="28"/>
          <w:szCs w:val="28"/>
        </w:rPr>
        <w:t xml:space="preserve">, </w:t>
      </w:r>
      <w:r w:rsidRPr="00007434">
        <w:rPr>
          <w:sz w:val="28"/>
          <w:szCs w:val="28"/>
        </w:rPr>
        <w:t>удалить строки</w:t>
      </w:r>
      <w:r w:rsidR="004C0230" w:rsidRPr="00007434">
        <w:rPr>
          <w:sz w:val="28"/>
          <w:szCs w:val="28"/>
        </w:rPr>
        <w:t xml:space="preserve"> </w:t>
      </w:r>
      <w:r w:rsidR="009D6970" w:rsidRPr="00007434">
        <w:rPr>
          <w:sz w:val="28"/>
          <w:szCs w:val="28"/>
        </w:rPr>
        <w:t xml:space="preserve">810.1, 810.2, 810.3, 810.4, 810.5,810.6, 810.7, 810.8, 810.9, 810.10, 810.11, 810.12, 810.13, 810.14, 810.15, 810.16, 810.17 </w:t>
      </w:r>
    </w:p>
    <w:p w:rsidR="009D6970" w:rsidRPr="00007434" w:rsidRDefault="00CC5AF7" w:rsidP="00472EDE">
      <w:pPr>
        <w:pStyle w:val="a4"/>
        <w:widowControl w:val="0"/>
        <w:numPr>
          <w:ilvl w:val="1"/>
          <w:numId w:val="4"/>
        </w:numPr>
        <w:shd w:val="clear" w:color="auto" w:fill="FFFFFF"/>
        <w:autoSpaceDE w:val="0"/>
        <w:spacing w:before="5" w:line="276" w:lineRule="auto"/>
        <w:ind w:left="0" w:right="-35" w:firstLine="709"/>
        <w:jc w:val="both"/>
        <w:rPr>
          <w:sz w:val="28"/>
          <w:szCs w:val="28"/>
        </w:rPr>
      </w:pPr>
      <w:r w:rsidRPr="00007434">
        <w:rPr>
          <w:sz w:val="28"/>
          <w:szCs w:val="28"/>
        </w:rPr>
        <w:t>Включить во второй раздел «Сведения о муниципальном движимом имуществе» подраздел: «Оборудование «умной» спортивной площадки» и включить в него строки 945.1, 945</w:t>
      </w:r>
      <w:r w:rsidR="0033173F" w:rsidRPr="00007434">
        <w:rPr>
          <w:sz w:val="28"/>
          <w:szCs w:val="28"/>
        </w:rPr>
        <w:t xml:space="preserve">.2,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.3,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.4,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.5,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.6,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.7,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.8,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.9,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.10,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.11, </w:t>
      </w:r>
      <w:r w:rsidRPr="00007434">
        <w:rPr>
          <w:sz w:val="28"/>
          <w:szCs w:val="28"/>
        </w:rPr>
        <w:t>945</w:t>
      </w:r>
      <w:r w:rsidR="0033173F" w:rsidRPr="00007434">
        <w:rPr>
          <w:sz w:val="28"/>
          <w:szCs w:val="28"/>
        </w:rPr>
        <w:t xml:space="preserve">.12 </w:t>
      </w:r>
      <w:r w:rsidRPr="00007434">
        <w:rPr>
          <w:sz w:val="28"/>
          <w:szCs w:val="28"/>
        </w:rPr>
        <w:t>согласно приложению.</w:t>
      </w:r>
    </w:p>
    <w:p w:rsidR="00EF42F7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proofErr w:type="gramStart"/>
      <w:r w:rsidRPr="00472EDE">
        <w:rPr>
          <w:sz w:val="28"/>
          <w:szCs w:val="28"/>
        </w:rPr>
        <w:t>Контроль за</w:t>
      </w:r>
      <w:proofErr w:type="gramEnd"/>
      <w:r w:rsidRPr="00472ED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</w:t>
      </w:r>
      <w:r w:rsidR="00EF42F7" w:rsidRPr="00472EDE">
        <w:rPr>
          <w:sz w:val="28"/>
          <w:szCs w:val="28"/>
        </w:rPr>
        <w:t xml:space="preserve"> налогам и сбора.</w:t>
      </w:r>
    </w:p>
    <w:p w:rsidR="00EF42F7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Настоящее решение опубликовать в информационном бюллетене «Приамурский вестник» и на официальном сайте администрации Приамурского городского поселения.</w:t>
      </w:r>
    </w:p>
    <w:p w:rsidR="006128F8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472EDE">
        <w:rPr>
          <w:sz w:val="28"/>
          <w:szCs w:val="28"/>
        </w:rPr>
        <w:lastRenderedPageBreak/>
        <w:t>опубликования.</w:t>
      </w:r>
    </w:p>
    <w:p w:rsidR="006128F8" w:rsidRPr="00472EDE" w:rsidRDefault="006128F8" w:rsidP="00472EDE">
      <w:pPr>
        <w:widowControl w:val="0"/>
        <w:shd w:val="clear" w:color="auto" w:fill="FFFFFF"/>
        <w:autoSpaceDE w:val="0"/>
        <w:spacing w:line="276" w:lineRule="auto"/>
        <w:ind w:right="-35" w:firstLine="708"/>
        <w:jc w:val="both"/>
        <w:rPr>
          <w:sz w:val="28"/>
          <w:szCs w:val="28"/>
        </w:rPr>
      </w:pPr>
    </w:p>
    <w:p w:rsidR="006128F8" w:rsidRPr="00472EDE" w:rsidRDefault="006128F8" w:rsidP="00472EDE">
      <w:pPr>
        <w:widowControl w:val="0"/>
        <w:shd w:val="clear" w:color="auto" w:fill="FFFFFF"/>
        <w:autoSpaceDE w:val="0"/>
        <w:spacing w:line="276" w:lineRule="auto"/>
        <w:ind w:right="-35" w:firstLine="708"/>
        <w:jc w:val="both"/>
        <w:rPr>
          <w:sz w:val="28"/>
          <w:szCs w:val="28"/>
        </w:rPr>
      </w:pPr>
    </w:p>
    <w:p w:rsidR="00E50997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Председатель 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Собрания депутатов      </w:t>
      </w:r>
      <w:r w:rsidR="00E50997" w:rsidRPr="00472EDE">
        <w:rPr>
          <w:sz w:val="28"/>
          <w:szCs w:val="28"/>
        </w:rPr>
        <w:t xml:space="preserve">                   </w:t>
      </w:r>
      <w:r w:rsidRPr="00472EDE">
        <w:rPr>
          <w:sz w:val="28"/>
          <w:szCs w:val="28"/>
        </w:rPr>
        <w:t xml:space="preserve">                                                А. В. Мариняк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525E6" w:rsidRPr="00472EDE" w:rsidRDefault="00C525E6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Глава городского поселения</w:t>
      </w:r>
      <w:r w:rsidRPr="00472EDE">
        <w:rPr>
          <w:sz w:val="28"/>
          <w:szCs w:val="28"/>
        </w:rPr>
        <w:tab/>
        <w:t xml:space="preserve">          </w:t>
      </w:r>
      <w:r w:rsidRPr="00472EDE">
        <w:rPr>
          <w:sz w:val="28"/>
          <w:szCs w:val="28"/>
        </w:rPr>
        <w:tab/>
      </w:r>
      <w:r w:rsidRPr="00472EDE">
        <w:rPr>
          <w:sz w:val="28"/>
          <w:szCs w:val="28"/>
        </w:rPr>
        <w:tab/>
        <w:t xml:space="preserve">                                     А. С. Симонов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31F23" w:rsidRDefault="00231F2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727A9" w:rsidRDefault="002727A9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  <w:sectPr w:rsidR="002727A9" w:rsidSect="00EA1C6D">
          <w:pgSz w:w="11906" w:h="16838"/>
          <w:pgMar w:top="567" w:right="849" w:bottom="709" w:left="1701" w:header="720" w:footer="720" w:gutter="0"/>
          <w:cols w:space="720"/>
          <w:docGrid w:linePitch="360"/>
        </w:sectPr>
      </w:pPr>
    </w:p>
    <w:p w:rsidR="002727A9" w:rsidRDefault="002727A9" w:rsidP="002727A9">
      <w:pPr>
        <w:ind w:right="-31"/>
        <w:jc w:val="right"/>
      </w:pPr>
      <w:r>
        <w:rPr>
          <w:sz w:val="28"/>
          <w:szCs w:val="28"/>
        </w:rPr>
        <w:t>Приложение</w:t>
      </w:r>
    </w:p>
    <w:p w:rsidR="002727A9" w:rsidRDefault="002727A9" w:rsidP="002727A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AE48C2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депутатов</w:t>
      </w:r>
    </w:p>
    <w:p w:rsidR="002727A9" w:rsidRDefault="002727A9" w:rsidP="002727A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727A9" w:rsidRDefault="002727A9" w:rsidP="002727A9">
      <w:pPr>
        <w:tabs>
          <w:tab w:val="left" w:pos="14570"/>
        </w:tabs>
        <w:ind w:right="-31"/>
        <w:jc w:val="right"/>
      </w:pPr>
      <w:r>
        <w:rPr>
          <w:sz w:val="28"/>
          <w:szCs w:val="28"/>
        </w:rPr>
        <w:t xml:space="preserve">от </w:t>
      </w:r>
      <w:r w:rsidR="00EA1C6D">
        <w:rPr>
          <w:sz w:val="28"/>
          <w:szCs w:val="28"/>
        </w:rPr>
        <w:t>28.11.2024</w:t>
      </w:r>
      <w:r w:rsidR="00AE4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A1C6D">
        <w:rPr>
          <w:sz w:val="28"/>
          <w:szCs w:val="28"/>
        </w:rPr>
        <w:t>96</w:t>
      </w:r>
    </w:p>
    <w:p w:rsidR="002727A9" w:rsidRDefault="002727A9" w:rsidP="002727A9">
      <w:pPr>
        <w:jc w:val="center"/>
        <w:rPr>
          <w:sz w:val="28"/>
          <w:szCs w:val="28"/>
        </w:rPr>
      </w:pPr>
    </w:p>
    <w:tbl>
      <w:tblPr>
        <w:tblW w:w="15122" w:type="dxa"/>
        <w:tblInd w:w="93" w:type="dxa"/>
        <w:tblLook w:val="04A0"/>
      </w:tblPr>
      <w:tblGrid>
        <w:gridCol w:w="624"/>
        <w:gridCol w:w="2307"/>
        <w:gridCol w:w="1134"/>
        <w:gridCol w:w="993"/>
        <w:gridCol w:w="1417"/>
        <w:gridCol w:w="1559"/>
        <w:gridCol w:w="2127"/>
        <w:gridCol w:w="2126"/>
        <w:gridCol w:w="1417"/>
        <w:gridCol w:w="1418"/>
      </w:tblGrid>
      <w:tr w:rsidR="003111AB" w:rsidRPr="002727A9" w:rsidTr="00E53F63">
        <w:trPr>
          <w:trHeight w:val="323"/>
        </w:trPr>
        <w:tc>
          <w:tcPr>
            <w:tcW w:w="151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AB" w:rsidRPr="002727A9" w:rsidRDefault="003111AB" w:rsidP="003111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727A9">
              <w:rPr>
                <w:b/>
                <w:bCs/>
                <w:color w:val="000000"/>
                <w:lang w:eastAsia="ru-RU"/>
              </w:rPr>
              <w:t>Раздел 2 "Сведения о муниципальном движимом имуществе"</w:t>
            </w:r>
          </w:p>
        </w:tc>
      </w:tr>
      <w:tr w:rsidR="002727A9" w:rsidRPr="002727A9" w:rsidTr="009F3E3D">
        <w:trPr>
          <w:trHeight w:val="67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27A9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727A9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наименование движимого имущества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реквизиты </w:t>
            </w:r>
            <w:proofErr w:type="gramStart"/>
            <w:r w:rsidRPr="002727A9">
              <w:rPr>
                <w:color w:val="000000"/>
                <w:sz w:val="12"/>
                <w:szCs w:val="12"/>
                <w:lang w:eastAsia="ru-RU"/>
              </w:rPr>
              <w:t>документов оснований возникновения права муниципальной собственности</w:t>
            </w:r>
            <w:proofErr w:type="gramEnd"/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 на движимое имущество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 правообладателе  муниципального движимого имущества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(обременениях), основание и дата их возникновения и прекращения</w:t>
            </w:r>
          </w:p>
        </w:tc>
      </w:tr>
      <w:tr w:rsidR="002727A9" w:rsidRPr="002727A9" w:rsidTr="009F3E3D">
        <w:trPr>
          <w:trHeight w:val="3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балансовая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остаточная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возникновения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прекращения</w:t>
            </w:r>
          </w:p>
        </w:tc>
      </w:tr>
      <w:tr w:rsidR="002727A9" w:rsidRPr="002727A9" w:rsidTr="009F3E3D">
        <w:trPr>
          <w:trHeight w:val="31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3918C7" w:rsidRPr="002727A9" w:rsidTr="009F3E3D">
        <w:trPr>
          <w:trHeight w:val="349"/>
        </w:trPr>
        <w:tc>
          <w:tcPr>
            <w:tcW w:w="151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8C7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007434">
              <w:rPr>
                <w:sz w:val="28"/>
                <w:szCs w:val="28"/>
              </w:rPr>
              <w:t>Оборудование «умной» спортивной площадки</w:t>
            </w:r>
          </w:p>
        </w:tc>
      </w:tr>
      <w:tr w:rsidR="002727A9" w:rsidRPr="002727A9" w:rsidTr="009F3E3D">
        <w:trPr>
          <w:trHeight w:val="34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754E6B">
              <w:rPr>
                <w:color w:val="000000"/>
                <w:sz w:val="14"/>
                <w:szCs w:val="14"/>
                <w:lang w:eastAsia="ru-RU"/>
              </w:rPr>
              <w:t>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3111AB" w:rsidRDefault="00582135" w:rsidP="002727A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111AB">
              <w:rPr>
                <w:bCs/>
                <w:sz w:val="16"/>
                <w:szCs w:val="16"/>
              </w:rPr>
              <w:t>Покрытие универсальной площадки для баскетбола, футбола, волейбола, размером 30х60 м с разметкой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727A9" w:rsidRPr="002727A9" w:rsidTr="009F3E3D">
        <w:trPr>
          <w:trHeight w:val="4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A9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754E6B">
              <w:rPr>
                <w:color w:val="000000"/>
                <w:sz w:val="14"/>
                <w:szCs w:val="14"/>
                <w:lang w:eastAsia="ru-RU"/>
              </w:rPr>
              <w:t>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3111AB" w:rsidRDefault="009F3E3D" w:rsidP="00754E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111AB">
              <w:rPr>
                <w:sz w:val="16"/>
                <w:szCs w:val="16"/>
              </w:rPr>
              <w:t>Стационарные баскетбольные стойки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A9" w:rsidRPr="003111AB" w:rsidRDefault="002727A9" w:rsidP="002727A9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754E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F3E3D" w:rsidRPr="002727A9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3D" w:rsidRPr="003111AB" w:rsidRDefault="009F3E3D" w:rsidP="003B194E">
            <w:pPr>
              <w:jc w:val="both"/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 xml:space="preserve">Рулонное покрытие для беговых дорожек и вспомогательных зон (в комплекте с разметочной краской и клеем), (противоскользящее рулонное – 936 п. м., для беговых дорожек – 1142 п. </w:t>
            </w:r>
            <w:proofErr w:type="gramStart"/>
            <w:r w:rsidRPr="003111AB">
              <w:rPr>
                <w:bCs/>
                <w:sz w:val="16"/>
                <w:szCs w:val="16"/>
              </w:rPr>
              <w:t>м</w:t>
            </w:r>
            <w:proofErr w:type="gramEnd"/>
            <w:r w:rsidRPr="003111AB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F3E3D" w:rsidRPr="00CC165F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3111AB" w:rsidRDefault="009F3E3D" w:rsidP="003111AB">
            <w:pPr>
              <w:jc w:val="both"/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>Трибуна на 100 мест</w:t>
            </w:r>
            <w:r w:rsidRPr="003111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F3E3D" w:rsidRPr="00CC165F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3111AB" w:rsidRDefault="009F3E3D" w:rsidP="003B194E">
            <w:pPr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>Уличные стойки для волейбола (в комплекте с сеткой)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CC165F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F3E3D" w:rsidRPr="006A24EA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.6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3D" w:rsidRPr="003111AB" w:rsidRDefault="009F3E3D" w:rsidP="003B194E">
            <w:pPr>
              <w:jc w:val="both"/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>Уличные хоккейные борта односторонние с ограждающей сеткой по периметру (хоккейная коробка)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F3E3D" w:rsidRPr="00915FED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3D" w:rsidRPr="003111AB" w:rsidRDefault="009F3E3D" w:rsidP="003B194E">
            <w:pPr>
              <w:jc w:val="both"/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>Уличный стол для настольного тенниса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9F3E3D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9F3E3D" w:rsidRPr="002727A9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9F3E3D">
              <w:rPr>
                <w:color w:val="000000"/>
                <w:sz w:val="14"/>
                <w:szCs w:val="14"/>
                <w:lang w:eastAsia="ru-RU"/>
              </w:rPr>
              <w:t>.8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3D" w:rsidRPr="003111AB" w:rsidRDefault="00547CD8" w:rsidP="003B194E">
            <w:pPr>
              <w:jc w:val="both"/>
              <w:rPr>
                <w:sz w:val="16"/>
                <w:szCs w:val="16"/>
              </w:rPr>
            </w:pPr>
            <w:r w:rsidRPr="003111AB">
              <w:rPr>
                <w:bCs/>
                <w:iCs/>
                <w:sz w:val="16"/>
                <w:szCs w:val="16"/>
              </w:rPr>
              <w:t>Комплект для воркаута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E3D" w:rsidRPr="003111AB" w:rsidRDefault="009F3E3D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3E3D" w:rsidRPr="002727A9" w:rsidRDefault="009F3E3D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547CD8" w:rsidRPr="00B25C18" w:rsidTr="00CC7375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CD8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547CD8">
              <w:rPr>
                <w:color w:val="000000"/>
                <w:sz w:val="14"/>
                <w:szCs w:val="14"/>
                <w:lang w:eastAsia="ru-RU"/>
              </w:rPr>
              <w:t>.9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CD8" w:rsidRPr="003111AB" w:rsidRDefault="00547CD8" w:rsidP="003B194E">
            <w:pPr>
              <w:rPr>
                <w:bCs/>
                <w:iCs/>
                <w:sz w:val="16"/>
                <w:szCs w:val="16"/>
              </w:rPr>
            </w:pPr>
            <w:r w:rsidRPr="003111AB">
              <w:rPr>
                <w:bCs/>
                <w:iCs/>
                <w:sz w:val="16"/>
                <w:szCs w:val="16"/>
              </w:rPr>
              <w:t xml:space="preserve">Комплект для </w:t>
            </w:r>
            <w:proofErr w:type="gramStart"/>
            <w:r w:rsidRPr="003111AB">
              <w:rPr>
                <w:bCs/>
                <w:iCs/>
                <w:sz w:val="16"/>
                <w:szCs w:val="16"/>
              </w:rPr>
              <w:t>детского</w:t>
            </w:r>
            <w:proofErr w:type="gramEnd"/>
            <w:r w:rsidRPr="003111AB">
              <w:rPr>
                <w:bCs/>
                <w:iCs/>
                <w:sz w:val="16"/>
                <w:szCs w:val="16"/>
              </w:rPr>
              <w:t xml:space="preserve"> воркаута, </w:t>
            </w:r>
          </w:p>
          <w:p w:rsidR="00547CD8" w:rsidRPr="003111AB" w:rsidRDefault="00547CD8" w:rsidP="003B19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CD8" w:rsidRPr="003111AB" w:rsidRDefault="00547CD8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CD8" w:rsidRPr="00B25C18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547CD8" w:rsidRPr="00B25C18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CD8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547CD8">
              <w:rPr>
                <w:color w:val="000000"/>
                <w:sz w:val="14"/>
                <w:szCs w:val="14"/>
                <w:lang w:eastAsia="ru-RU"/>
              </w:rPr>
              <w:t>.10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3111AB" w:rsidRDefault="008D17BB" w:rsidP="003B194E">
            <w:pPr>
              <w:rPr>
                <w:sz w:val="16"/>
                <w:szCs w:val="16"/>
              </w:rPr>
            </w:pPr>
            <w:r w:rsidRPr="003111AB">
              <w:rPr>
                <w:bCs/>
                <w:sz w:val="16"/>
                <w:szCs w:val="16"/>
              </w:rPr>
              <w:t>Тренажер уличный силовой «Жим ногами»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CD8" w:rsidRPr="003111AB" w:rsidRDefault="00547CD8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CD8" w:rsidRPr="008D17BB" w:rsidRDefault="00547CD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B25C18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754E6B">
              <w:rPr>
                <w:color w:val="000000"/>
                <w:sz w:val="14"/>
                <w:szCs w:val="14"/>
                <w:lang w:eastAsia="ru-RU"/>
              </w:rPr>
              <w:t>.11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3111AB" w:rsidRDefault="003111AB" w:rsidP="002727A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111AB">
              <w:rPr>
                <w:bCs/>
                <w:sz w:val="16"/>
                <w:szCs w:val="16"/>
                <w:shd w:val="clear" w:color="auto" w:fill="FFFFFF"/>
              </w:rPr>
              <w:t>Уличный силовой тренажер для тренировки грудных мышц путем жима вперед из положения сидя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3111AB" w:rsidRDefault="00754E6B" w:rsidP="002727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1242B8" w:rsidTr="009F3E3D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3111A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945</w:t>
            </w:r>
            <w:r w:rsidR="00754E6B">
              <w:rPr>
                <w:color w:val="000000"/>
                <w:sz w:val="14"/>
                <w:szCs w:val="14"/>
                <w:lang w:eastAsia="ru-RU"/>
              </w:rPr>
              <w:t>.12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3111AB" w:rsidRDefault="003111AB" w:rsidP="001242B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3111AB">
              <w:rPr>
                <w:bCs/>
                <w:sz w:val="16"/>
                <w:szCs w:val="16"/>
                <w:shd w:val="clear" w:color="auto" w:fill="FFFFFF"/>
              </w:rPr>
              <w:t>Ворота хоккейные с сеткой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3111AB" w:rsidRDefault="00754E6B" w:rsidP="002727A9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sectPr w:rsidR="002078D0" w:rsidRPr="008F3C61" w:rsidSect="002727A9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90"/>
    <w:multiLevelType w:val="hybridMultilevel"/>
    <w:tmpl w:val="E670EFC4"/>
    <w:lvl w:ilvl="0" w:tplc="7598EA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A2337C"/>
    <w:multiLevelType w:val="multilevel"/>
    <w:tmpl w:val="2E5615B4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B32771"/>
    <w:multiLevelType w:val="hybridMultilevel"/>
    <w:tmpl w:val="35D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AB4"/>
    <w:multiLevelType w:val="hybridMultilevel"/>
    <w:tmpl w:val="443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C51DE"/>
    <w:multiLevelType w:val="multilevel"/>
    <w:tmpl w:val="2E5615B4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2785550"/>
    <w:multiLevelType w:val="hybridMultilevel"/>
    <w:tmpl w:val="340ACF08"/>
    <w:lvl w:ilvl="0" w:tplc="CB901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D4C96"/>
    <w:multiLevelType w:val="multilevel"/>
    <w:tmpl w:val="9DE8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124"/>
    <w:rsid w:val="00007434"/>
    <w:rsid w:val="0003153B"/>
    <w:rsid w:val="0003793E"/>
    <w:rsid w:val="00045C51"/>
    <w:rsid w:val="00063DD9"/>
    <w:rsid w:val="00086C75"/>
    <w:rsid w:val="000E77C0"/>
    <w:rsid w:val="001205DE"/>
    <w:rsid w:val="001242B8"/>
    <w:rsid w:val="00190878"/>
    <w:rsid w:val="001A1533"/>
    <w:rsid w:val="001A71A9"/>
    <w:rsid w:val="002078D0"/>
    <w:rsid w:val="00222BCD"/>
    <w:rsid w:val="00231F23"/>
    <w:rsid w:val="00245F91"/>
    <w:rsid w:val="00257D77"/>
    <w:rsid w:val="00260951"/>
    <w:rsid w:val="00263224"/>
    <w:rsid w:val="002642B4"/>
    <w:rsid w:val="00272136"/>
    <w:rsid w:val="002727A9"/>
    <w:rsid w:val="002A1D45"/>
    <w:rsid w:val="002A2288"/>
    <w:rsid w:val="002C257A"/>
    <w:rsid w:val="002C578D"/>
    <w:rsid w:val="003111AB"/>
    <w:rsid w:val="0033173F"/>
    <w:rsid w:val="0033601A"/>
    <w:rsid w:val="003918C7"/>
    <w:rsid w:val="003922B7"/>
    <w:rsid w:val="00395745"/>
    <w:rsid w:val="003E5539"/>
    <w:rsid w:val="003E5A39"/>
    <w:rsid w:val="003F6217"/>
    <w:rsid w:val="003F76A2"/>
    <w:rsid w:val="004071CF"/>
    <w:rsid w:val="00420A2B"/>
    <w:rsid w:val="00440DE1"/>
    <w:rsid w:val="004672AF"/>
    <w:rsid w:val="00472EDE"/>
    <w:rsid w:val="00482F06"/>
    <w:rsid w:val="004C0230"/>
    <w:rsid w:val="004C5555"/>
    <w:rsid w:val="005132F3"/>
    <w:rsid w:val="0054259C"/>
    <w:rsid w:val="00546186"/>
    <w:rsid w:val="005464CC"/>
    <w:rsid w:val="00547CD8"/>
    <w:rsid w:val="00573DF3"/>
    <w:rsid w:val="00582135"/>
    <w:rsid w:val="0059554A"/>
    <w:rsid w:val="006075DC"/>
    <w:rsid w:val="006128F8"/>
    <w:rsid w:val="00622BB9"/>
    <w:rsid w:val="00670066"/>
    <w:rsid w:val="00685146"/>
    <w:rsid w:val="00686A88"/>
    <w:rsid w:val="00695407"/>
    <w:rsid w:val="006A24EA"/>
    <w:rsid w:val="006D348F"/>
    <w:rsid w:val="006E5337"/>
    <w:rsid w:val="006F2A43"/>
    <w:rsid w:val="00754E6B"/>
    <w:rsid w:val="00794C3C"/>
    <w:rsid w:val="007A0FCF"/>
    <w:rsid w:val="007A6134"/>
    <w:rsid w:val="007B115F"/>
    <w:rsid w:val="007C134F"/>
    <w:rsid w:val="007C2C87"/>
    <w:rsid w:val="008876A4"/>
    <w:rsid w:val="008A11A6"/>
    <w:rsid w:val="008A7FA1"/>
    <w:rsid w:val="008C358E"/>
    <w:rsid w:val="008D17BB"/>
    <w:rsid w:val="008F3C61"/>
    <w:rsid w:val="00915FED"/>
    <w:rsid w:val="009517A8"/>
    <w:rsid w:val="00965EC9"/>
    <w:rsid w:val="00975912"/>
    <w:rsid w:val="009875CD"/>
    <w:rsid w:val="009A08B8"/>
    <w:rsid w:val="009A2D7F"/>
    <w:rsid w:val="009D6970"/>
    <w:rsid w:val="009E77E2"/>
    <w:rsid w:val="009F3E3D"/>
    <w:rsid w:val="00A0163B"/>
    <w:rsid w:val="00A078C9"/>
    <w:rsid w:val="00A60988"/>
    <w:rsid w:val="00A715C8"/>
    <w:rsid w:val="00A719A4"/>
    <w:rsid w:val="00A753ED"/>
    <w:rsid w:val="00A85D76"/>
    <w:rsid w:val="00AA3E31"/>
    <w:rsid w:val="00AB3689"/>
    <w:rsid w:val="00AB7EE2"/>
    <w:rsid w:val="00AE48C2"/>
    <w:rsid w:val="00B049E1"/>
    <w:rsid w:val="00B04D59"/>
    <w:rsid w:val="00B20579"/>
    <w:rsid w:val="00B25C18"/>
    <w:rsid w:val="00B47053"/>
    <w:rsid w:val="00B573DD"/>
    <w:rsid w:val="00B903FF"/>
    <w:rsid w:val="00BA03BB"/>
    <w:rsid w:val="00BA049F"/>
    <w:rsid w:val="00C243AF"/>
    <w:rsid w:val="00C3396A"/>
    <w:rsid w:val="00C525E6"/>
    <w:rsid w:val="00C57184"/>
    <w:rsid w:val="00C8796B"/>
    <w:rsid w:val="00C9564B"/>
    <w:rsid w:val="00C95BFA"/>
    <w:rsid w:val="00CB0124"/>
    <w:rsid w:val="00CC165F"/>
    <w:rsid w:val="00CC5AF7"/>
    <w:rsid w:val="00CD2A90"/>
    <w:rsid w:val="00CE5FE0"/>
    <w:rsid w:val="00D16E96"/>
    <w:rsid w:val="00D40B0A"/>
    <w:rsid w:val="00D42DDB"/>
    <w:rsid w:val="00E259C1"/>
    <w:rsid w:val="00E50997"/>
    <w:rsid w:val="00E53EBE"/>
    <w:rsid w:val="00E65B79"/>
    <w:rsid w:val="00E8457B"/>
    <w:rsid w:val="00E9214C"/>
    <w:rsid w:val="00EA1C6D"/>
    <w:rsid w:val="00EA63E8"/>
    <w:rsid w:val="00EA6A69"/>
    <w:rsid w:val="00EF42F7"/>
    <w:rsid w:val="00EF6F47"/>
    <w:rsid w:val="00F27FBF"/>
    <w:rsid w:val="00F661F1"/>
    <w:rsid w:val="00F84004"/>
    <w:rsid w:val="00FB6ABD"/>
    <w:rsid w:val="00FD0109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AC1F-A53D-4993-8EC7-A3A0541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6</cp:revision>
  <cp:lastPrinted>2024-11-11T05:11:00Z</cp:lastPrinted>
  <dcterms:created xsi:type="dcterms:W3CDTF">2024-11-11T00:37:00Z</dcterms:created>
  <dcterms:modified xsi:type="dcterms:W3CDTF">2024-12-01T07:12:00Z</dcterms:modified>
</cp:coreProperties>
</file>