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A" w:rsidRDefault="006C530A" w:rsidP="006C53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6C530A" w:rsidRDefault="006C530A" w:rsidP="006C53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6C530A" w:rsidRDefault="006C530A" w:rsidP="006C53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530A" w:rsidRDefault="006C530A" w:rsidP="006C53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Pr="006C53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августа 2018 г.                                                                                                                            пос. Приамурский</w:t>
      </w:r>
    </w:p>
    <w:p w:rsidR="006C530A" w:rsidRDefault="006C530A" w:rsidP="006C5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06.08.2018 № 645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14.00 часов (местного времени) 11.09.2018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79:06:3300007:313.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30 кв. м.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60 м от ориентира по направлению на северо-восток.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Амурская, дом № 12 «б».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объекты гаражного назначения.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500 руб. 00 коп.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15 руб. 00 коп.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08.08.2018 до 04.09.2018 года.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08.08.2018 до 04.09.2018 года.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04.09.2018 года, уведомив об этом в письменной форме администрацию городского поселения.</w:t>
      </w:r>
    </w:p>
    <w:p w:rsidR="006C530A" w:rsidRDefault="006C530A" w:rsidP="006C530A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годовой арендной платы – 500 руб. 00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C530A" w:rsidRDefault="006C530A" w:rsidP="006C5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C530A" w:rsidRDefault="006C530A" w:rsidP="006C5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530A" w:rsidRDefault="006C530A" w:rsidP="006C5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9783A" w:rsidRDefault="00D9783A" w:rsidP="00D9783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C6EB7" w:rsidRPr="008035B6" w:rsidRDefault="00FE2ADB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50A6A" w:rsidRPr="007212B7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6C530A">
        <w:rPr>
          <w:rFonts w:ascii="Times New Roman" w:hAnsi="Times New Roman" w:cs="Times New Roman"/>
          <w:b/>
          <w:sz w:val="20"/>
          <w:szCs w:val="20"/>
        </w:rPr>
        <w:t>12» сентября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 w:rsidRPr="00FE2ADB">
        <w:rPr>
          <w:rFonts w:ascii="Times New Roman" w:hAnsi="Times New Roman" w:cs="Times New Roman"/>
          <w:b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D9783A">
        <w:rPr>
          <w:rFonts w:ascii="Times New Roman" w:hAnsi="Times New Roman" w:cs="Times New Roman"/>
          <w:sz w:val="20"/>
          <w:szCs w:val="20"/>
        </w:rPr>
        <w:t xml:space="preserve"> аукциона № ___ от ___  июл</w:t>
      </w:r>
      <w:r w:rsidR="00AE4915">
        <w:rPr>
          <w:rFonts w:ascii="Times New Roman" w:hAnsi="Times New Roman" w:cs="Times New Roman"/>
          <w:sz w:val="20"/>
          <w:szCs w:val="20"/>
        </w:rPr>
        <w:t xml:space="preserve">я </w:t>
      </w:r>
      <w:r w:rsidR="00FE2ADB">
        <w:rPr>
          <w:rFonts w:ascii="Times New Roman" w:hAnsi="Times New Roman" w:cs="Times New Roman"/>
          <w:sz w:val="20"/>
          <w:szCs w:val="20"/>
        </w:rPr>
        <w:t>2018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</w:t>
      </w:r>
      <w:r w:rsidR="00FE2ADB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10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6C530A">
        <w:rPr>
          <w:rFonts w:ascii="Times New Roman" w:hAnsi="Times New Roman" w:cs="Times New Roman"/>
          <w:sz w:val="20"/>
          <w:szCs w:val="20"/>
        </w:rPr>
        <w:t xml:space="preserve"> район, пос. Приамурский, 60</w:t>
      </w:r>
      <w:r w:rsidR="00FE2ADB">
        <w:rPr>
          <w:rFonts w:ascii="Times New Roman" w:hAnsi="Times New Roman" w:cs="Times New Roman"/>
          <w:sz w:val="20"/>
          <w:szCs w:val="20"/>
        </w:rPr>
        <w:t xml:space="preserve"> метров на север</w:t>
      </w:r>
      <w:r w:rsidR="006C530A">
        <w:rPr>
          <w:rFonts w:ascii="Times New Roman" w:hAnsi="Times New Roman" w:cs="Times New Roman"/>
          <w:sz w:val="20"/>
          <w:szCs w:val="20"/>
        </w:rPr>
        <w:t>о-восток</w:t>
      </w:r>
      <w:r w:rsidR="00D9783A">
        <w:rPr>
          <w:rFonts w:ascii="Times New Roman" w:hAnsi="Times New Roman" w:cs="Times New Roman"/>
          <w:sz w:val="20"/>
          <w:szCs w:val="20"/>
        </w:rPr>
        <w:t xml:space="preserve"> от дома № 1</w:t>
      </w:r>
      <w:r w:rsidR="006C530A">
        <w:rPr>
          <w:rFonts w:ascii="Times New Roman" w:hAnsi="Times New Roman" w:cs="Times New Roman"/>
          <w:sz w:val="20"/>
          <w:szCs w:val="20"/>
        </w:rPr>
        <w:t>2 «б» по ул. Амурска</w:t>
      </w:r>
      <w:r w:rsidR="00FE2ADB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79:06:3300007:313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участка: 30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 объекты гаражного назначения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12» сентября 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«11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>сентября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6C530A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«12» сентября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2018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500 руб. 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proofErr w:type="gramStart"/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proofErr w:type="gramEnd"/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(</w:t>
      </w:r>
      <w:proofErr w:type="gramStart"/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п</w:t>
      </w:r>
      <w:proofErr w:type="gramEnd"/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ятьсот руб. 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коп.), внесённая Арендатором в виде задатка за Участок, засчитывается в счет арендной платы за земельный участок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BE50E9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974E75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974E7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974E7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974E75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E7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974E7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FE2ADB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 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AE49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6C530A">
        <w:rPr>
          <w:rFonts w:ascii="Times New Roman" w:hAnsi="Times New Roman" w:cs="Times New Roman"/>
          <w:sz w:val="20"/>
          <w:szCs w:val="20"/>
        </w:rPr>
        <w:t xml:space="preserve">  № ___ от  12.09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6C530A">
        <w:rPr>
          <w:rFonts w:ascii="Times New Roman" w:hAnsi="Times New Roman" w:cs="Times New Roman"/>
          <w:sz w:val="20"/>
          <w:szCs w:val="20"/>
        </w:rPr>
        <w:t>РУ АРЕНДЫ № ____ от 12.09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6C530A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12 сентября </w:t>
      </w:r>
      <w:r w:rsidR="00D9783A">
        <w:rPr>
          <w:rFonts w:ascii="Times New Roman" w:hAnsi="Times New Roman" w:cs="Times New Roman"/>
          <w:sz w:val="20"/>
          <w:szCs w:val="20"/>
        </w:rPr>
        <w:t xml:space="preserve"> 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AE4915" w:rsidRDefault="002C204F" w:rsidP="00AE491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</w:t>
      </w:r>
      <w:r w:rsidR="00AE4915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6C530A">
        <w:rPr>
          <w:rFonts w:ascii="Times New Roman" w:hAnsi="Times New Roman" w:cs="Times New Roman"/>
          <w:sz w:val="20"/>
          <w:szCs w:val="20"/>
        </w:rPr>
        <w:t xml:space="preserve"> район, пос. Приамурский, 60</w:t>
      </w:r>
      <w:r w:rsidR="00AE4915">
        <w:rPr>
          <w:rFonts w:ascii="Times New Roman" w:hAnsi="Times New Roman" w:cs="Times New Roman"/>
          <w:sz w:val="20"/>
          <w:szCs w:val="20"/>
        </w:rPr>
        <w:t xml:space="preserve"> метров на север</w:t>
      </w:r>
      <w:r w:rsidR="006C530A">
        <w:rPr>
          <w:rFonts w:ascii="Times New Roman" w:hAnsi="Times New Roman" w:cs="Times New Roman"/>
          <w:sz w:val="20"/>
          <w:szCs w:val="20"/>
        </w:rPr>
        <w:t xml:space="preserve">о-восток </w:t>
      </w:r>
      <w:r w:rsidR="00D9783A">
        <w:rPr>
          <w:rFonts w:ascii="Times New Roman" w:hAnsi="Times New Roman" w:cs="Times New Roman"/>
          <w:sz w:val="20"/>
          <w:szCs w:val="20"/>
        </w:rPr>
        <w:t>от дома № 1</w:t>
      </w:r>
      <w:r w:rsidR="006C530A">
        <w:rPr>
          <w:rFonts w:ascii="Times New Roman" w:hAnsi="Times New Roman" w:cs="Times New Roman"/>
          <w:sz w:val="20"/>
          <w:szCs w:val="20"/>
        </w:rPr>
        <w:t>2 «б» по ул. Амурская</w:t>
      </w:r>
      <w:r w:rsidR="00AE4915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D9783A">
        <w:rPr>
          <w:rFonts w:ascii="Times New Roman" w:hAnsi="Times New Roman" w:cs="Times New Roman"/>
          <w:sz w:val="20"/>
          <w:szCs w:val="20"/>
        </w:rPr>
        <w:t>объекты</w:t>
      </w:r>
      <w:r w:rsidR="006C530A">
        <w:rPr>
          <w:rFonts w:ascii="Times New Roman" w:hAnsi="Times New Roman" w:cs="Times New Roman"/>
          <w:sz w:val="20"/>
          <w:szCs w:val="20"/>
        </w:rPr>
        <w:t xml:space="preserve"> гаражного назначения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6C530A">
        <w:rPr>
          <w:rFonts w:ascii="Times New Roman" w:hAnsi="Times New Roman" w:cs="Times New Roman"/>
          <w:sz w:val="20"/>
          <w:szCs w:val="20"/>
        </w:rPr>
        <w:t>щая площадь: 30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6C530A">
        <w:rPr>
          <w:rFonts w:ascii="Times New Roman" w:hAnsi="Times New Roman" w:cs="Times New Roman"/>
          <w:sz w:val="20"/>
          <w:szCs w:val="20"/>
        </w:rPr>
        <w:t>ого участка № __ от  12.09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6C530A" w:rsidP="00160298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29629,50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338D7"/>
    <w:rsid w:val="000E091B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37BB2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C530A"/>
    <w:rsid w:val="006D3772"/>
    <w:rsid w:val="006F3740"/>
    <w:rsid w:val="007212B7"/>
    <w:rsid w:val="00783EA1"/>
    <w:rsid w:val="008035B6"/>
    <w:rsid w:val="008321BB"/>
    <w:rsid w:val="00843286"/>
    <w:rsid w:val="0085611F"/>
    <w:rsid w:val="008E49B2"/>
    <w:rsid w:val="008F1365"/>
    <w:rsid w:val="00946A50"/>
    <w:rsid w:val="00974E75"/>
    <w:rsid w:val="009875D9"/>
    <w:rsid w:val="009C6EB7"/>
    <w:rsid w:val="009D0C3D"/>
    <w:rsid w:val="009F7575"/>
    <w:rsid w:val="00A03B83"/>
    <w:rsid w:val="00A61263"/>
    <w:rsid w:val="00A760CB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616FC"/>
    <w:rsid w:val="00C67F05"/>
    <w:rsid w:val="00C73DCA"/>
    <w:rsid w:val="00CE074E"/>
    <w:rsid w:val="00CE6C99"/>
    <w:rsid w:val="00D427E8"/>
    <w:rsid w:val="00D44179"/>
    <w:rsid w:val="00D71815"/>
    <w:rsid w:val="00D827FE"/>
    <w:rsid w:val="00D9783A"/>
    <w:rsid w:val="00DD7D34"/>
    <w:rsid w:val="00E02B99"/>
    <w:rsid w:val="00E93C21"/>
    <w:rsid w:val="00EE1E03"/>
    <w:rsid w:val="00F56EB9"/>
    <w:rsid w:val="00F6084B"/>
    <w:rsid w:val="00F75022"/>
    <w:rsid w:val="00F95775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A7E3-247C-4D19-86CB-2246AA4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58</cp:revision>
  <dcterms:created xsi:type="dcterms:W3CDTF">2016-04-19T03:47:00Z</dcterms:created>
  <dcterms:modified xsi:type="dcterms:W3CDTF">2018-08-07T03:28:00Z</dcterms:modified>
</cp:coreProperties>
</file>