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ПОСТАНОВЛЕНИЕ</w:t>
      </w:r>
    </w:p>
    <w:p w:rsidR="00D21409" w:rsidRPr="00696050" w:rsidRDefault="00D21409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D21409" w:rsidP="00D2140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 30 декабря 2015 № 524</w:t>
      </w:r>
    </w:p>
    <w:p w:rsidR="003D63C7" w:rsidRDefault="003D63C7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D63C7" w:rsidRPr="00696050" w:rsidRDefault="003D63C7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5429F" w:rsidRPr="00D90D86" w:rsidRDefault="00B63ADD" w:rsidP="00D90D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90D86">
        <w:rPr>
          <w:rFonts w:ascii="Times New Roman" w:hAnsi="Times New Roman" w:cs="Times New Roman"/>
          <w:sz w:val="28"/>
          <w:szCs w:val="28"/>
        </w:rPr>
        <w:t>О</w:t>
      </w:r>
      <w:r w:rsidR="00283FDF" w:rsidRPr="00D90D86">
        <w:rPr>
          <w:rFonts w:ascii="Times New Roman" w:hAnsi="Times New Roman" w:cs="Times New Roman"/>
          <w:sz w:val="28"/>
          <w:szCs w:val="28"/>
        </w:rPr>
        <w:t xml:space="preserve"> </w:t>
      </w:r>
      <w:r w:rsidR="001C0BC2" w:rsidRPr="00D90D86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45429F" w:rsidRPr="00D90D86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Муниципальную программу «Развитие сетей наружного освещения на территории муниципального образования «Приамурское городское поселение» на 2015 год </w:t>
      </w:r>
      <w:r w:rsidR="0045429F" w:rsidRPr="00D90D86">
        <w:rPr>
          <w:rFonts w:ascii="Times New Roman" w:hAnsi="Times New Roman" w:cs="Times New Roman"/>
          <w:sz w:val="28"/>
          <w:szCs w:val="28"/>
        </w:rPr>
        <w:t>и на плановый период 2016 и 2017 годов»</w:t>
      </w:r>
      <w:r w:rsidR="00D90D86" w:rsidRPr="00D90D86">
        <w:rPr>
          <w:rFonts w:ascii="Times New Roman" w:hAnsi="Times New Roman" w:cs="Times New Roman"/>
          <w:sz w:val="28"/>
          <w:szCs w:val="28"/>
        </w:rPr>
        <w:t>,</w:t>
      </w:r>
      <w:r w:rsidR="00121863" w:rsidRPr="00D90D86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</w:t>
      </w:r>
      <w:r w:rsidR="00F61FA1" w:rsidRPr="00D90D8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121863" w:rsidRPr="00D90D86">
        <w:rPr>
          <w:rFonts w:ascii="Times New Roman" w:hAnsi="Times New Roman" w:cs="Times New Roman"/>
          <w:sz w:val="28"/>
          <w:szCs w:val="28"/>
        </w:rPr>
        <w:t>от 11.11.2014 № 173</w:t>
      </w:r>
    </w:p>
    <w:p w:rsidR="001239D1" w:rsidRPr="00D90D86" w:rsidRDefault="006755C6" w:rsidP="00D90D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90D86">
        <w:rPr>
          <w:rFonts w:ascii="Times New Roman" w:hAnsi="Times New Roman" w:cs="Times New Roman"/>
          <w:sz w:val="28"/>
          <w:szCs w:val="28"/>
        </w:rPr>
        <w:tab/>
      </w:r>
    </w:p>
    <w:p w:rsidR="0045429F" w:rsidRPr="00D90D86" w:rsidRDefault="001D5901" w:rsidP="00D90D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D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A460E" w:rsidRPr="00D90D86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06.10.2003 №131-ФЗ "Об общих принципах организации местного самоуправления в Российской Федерации", </w:t>
      </w:r>
      <w:r w:rsidR="00EA460E" w:rsidRPr="00D90D86">
        <w:rPr>
          <w:rFonts w:ascii="Times New Roman" w:eastAsia="Calibri" w:hAnsi="Times New Roman" w:cs="Times New Roman"/>
          <w:sz w:val="28"/>
          <w:szCs w:val="28"/>
        </w:rPr>
        <w:t>Бюджетным кодексом Российской Федерации,</w:t>
      </w:r>
      <w:r w:rsidR="00EA460E" w:rsidRPr="00D90D86">
        <w:rPr>
          <w:rFonts w:ascii="Times New Roman" w:hAnsi="Times New Roman" w:cs="Times New Roman"/>
          <w:sz w:val="28"/>
          <w:szCs w:val="28"/>
        </w:rPr>
        <w:t xml:space="preserve"> У</w:t>
      </w:r>
      <w:r w:rsidRPr="00D90D86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F2420A" w:rsidRPr="00D90D86">
        <w:rPr>
          <w:rFonts w:ascii="Times New Roman" w:hAnsi="Times New Roman" w:cs="Times New Roman"/>
          <w:sz w:val="28"/>
          <w:szCs w:val="28"/>
        </w:rPr>
        <w:t>«</w:t>
      </w:r>
      <w:r w:rsidRPr="00D90D86">
        <w:rPr>
          <w:rFonts w:ascii="Times New Roman" w:hAnsi="Times New Roman" w:cs="Times New Roman"/>
          <w:sz w:val="28"/>
          <w:szCs w:val="28"/>
        </w:rPr>
        <w:t>Приамурское городское поселение»</w:t>
      </w:r>
      <w:r w:rsidR="007643DE" w:rsidRPr="00D90D86">
        <w:rPr>
          <w:rFonts w:ascii="Times New Roman" w:hAnsi="Times New Roman" w:cs="Times New Roman"/>
          <w:sz w:val="28"/>
          <w:szCs w:val="28"/>
        </w:rPr>
        <w:t>,</w:t>
      </w:r>
      <w:r w:rsidRPr="00D90D86">
        <w:rPr>
          <w:rFonts w:ascii="Times New Roman" w:hAnsi="Times New Roman" w:cs="Times New Roman"/>
          <w:sz w:val="28"/>
          <w:szCs w:val="28"/>
        </w:rPr>
        <w:t xml:space="preserve"> </w:t>
      </w:r>
      <w:r w:rsidR="0045429F" w:rsidRPr="00D90D86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</w:p>
    <w:p w:rsidR="00EA460E" w:rsidRDefault="00F10814" w:rsidP="00EA460E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9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A460E" w:rsidRDefault="00A14CF3" w:rsidP="00EA460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2B">
        <w:rPr>
          <w:rFonts w:ascii="Times New Roman" w:hAnsi="Times New Roman" w:cs="Times New Roman"/>
          <w:sz w:val="28"/>
          <w:szCs w:val="28"/>
        </w:rPr>
        <w:t>1.Внести в Муниципальную программу «Развитие сетей наружного освещения на территории муниципального образования «Приамурское городское поселение» на 2015 год и на плановый период 2016 и 2017 годов»</w:t>
      </w:r>
      <w:r w:rsidR="007E7BE9">
        <w:rPr>
          <w:rFonts w:ascii="Times New Roman" w:hAnsi="Times New Roman" w:cs="Times New Roman"/>
          <w:sz w:val="28"/>
          <w:szCs w:val="28"/>
        </w:rPr>
        <w:t xml:space="preserve"> </w:t>
      </w:r>
      <w:r w:rsidR="00E27A2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856BE">
        <w:rPr>
          <w:rFonts w:ascii="Times New Roman" w:hAnsi="Times New Roman" w:cs="Times New Roman"/>
          <w:sz w:val="28"/>
          <w:szCs w:val="28"/>
        </w:rPr>
        <w:t>М</w:t>
      </w:r>
      <w:r w:rsidR="00E27A2B">
        <w:rPr>
          <w:rFonts w:ascii="Times New Roman" w:hAnsi="Times New Roman" w:cs="Times New Roman"/>
          <w:sz w:val="28"/>
          <w:szCs w:val="28"/>
        </w:rPr>
        <w:t>униципальная программа),</w:t>
      </w:r>
      <w:r w:rsidR="00D90D86">
        <w:rPr>
          <w:rFonts w:ascii="Times New Roman" w:hAnsi="Times New Roman" w:cs="Times New Roman"/>
          <w:sz w:val="28"/>
          <w:szCs w:val="28"/>
        </w:rPr>
        <w:t xml:space="preserve"> </w:t>
      </w:r>
      <w:r w:rsidR="00E27A2B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городского </w:t>
      </w:r>
      <w:proofErr w:type="gramStart"/>
      <w:r w:rsidR="00E27A2B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E27A2B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EA460E">
        <w:rPr>
          <w:rFonts w:ascii="Times New Roman" w:hAnsi="Times New Roman" w:cs="Times New Roman"/>
          <w:sz w:val="28"/>
          <w:szCs w:val="28"/>
        </w:rPr>
        <w:t xml:space="preserve">ие </w:t>
      </w:r>
      <w:r w:rsidR="00E27A2B">
        <w:rPr>
          <w:rFonts w:ascii="Times New Roman" w:hAnsi="Times New Roman" w:cs="Times New Roman"/>
          <w:sz w:val="28"/>
          <w:szCs w:val="28"/>
        </w:rPr>
        <w:t xml:space="preserve"> </w:t>
      </w:r>
      <w:r w:rsidR="00EA460E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3AB2" w:rsidRPr="00E53AB2" w:rsidRDefault="00EA460E" w:rsidP="00EA460E">
      <w:pPr>
        <w:pStyle w:val="a8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4C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Раздел 3 «</w:t>
      </w:r>
      <w:r w:rsidRPr="00EA460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Сроки и этапы реализации Программы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E53AB2">
        <w:rPr>
          <w:rFonts w:ascii="Times New Roman" w:hAnsi="Times New Roman" w:cs="Times New Roman"/>
          <w:sz w:val="28"/>
          <w:szCs w:val="28"/>
        </w:rPr>
        <w:t xml:space="preserve"> </w:t>
      </w:r>
      <w:r w:rsidR="00E53AB2" w:rsidRPr="00E53A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53AB2" w:rsidRPr="00E53AB2" w:rsidRDefault="00E53AB2" w:rsidP="00E53AB2">
      <w:pPr>
        <w:pStyle w:val="a8"/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B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E53AB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Сроки и этапы реализации Программы»</w:t>
      </w:r>
    </w:p>
    <w:p w:rsidR="00E53AB2" w:rsidRDefault="00E53AB2" w:rsidP="00E53AB2">
      <w:pPr>
        <w:spacing w:after="0" w:line="240" w:lineRule="auto"/>
        <w:ind w:firstLine="181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41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254"/>
        <w:gridCol w:w="1779"/>
        <w:gridCol w:w="3119"/>
      </w:tblGrid>
      <w:tr w:rsidR="00E53AB2" w:rsidRPr="00115EED" w:rsidTr="00E16547">
        <w:tc>
          <w:tcPr>
            <w:tcW w:w="560" w:type="dxa"/>
          </w:tcPr>
          <w:p w:rsidR="00E53AB2" w:rsidRPr="007E7A3D" w:rsidRDefault="00E53AB2" w:rsidP="00777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E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4" w:type="dxa"/>
          </w:tcPr>
          <w:p w:rsidR="00E53AB2" w:rsidRPr="007E7A3D" w:rsidRDefault="00E53AB2" w:rsidP="00777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1779" w:type="dxa"/>
          </w:tcPr>
          <w:p w:rsidR="00E53AB2" w:rsidRPr="007E7A3D" w:rsidRDefault="00E53AB2" w:rsidP="00777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3119" w:type="dxa"/>
          </w:tcPr>
          <w:p w:rsidR="00E53AB2" w:rsidRPr="007E7A3D" w:rsidRDefault="00E53AB2" w:rsidP="00777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E53AB2" w:rsidRPr="00115EED" w:rsidTr="00E16547">
        <w:tc>
          <w:tcPr>
            <w:tcW w:w="560" w:type="dxa"/>
          </w:tcPr>
          <w:p w:rsidR="00E53AB2" w:rsidRPr="00115EED" w:rsidRDefault="00E53AB2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4" w:type="dxa"/>
          </w:tcPr>
          <w:p w:rsidR="00E53AB2" w:rsidRPr="006875C8" w:rsidRDefault="00E53AB2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3D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наружного уличного освещения</w:t>
            </w:r>
            <w:r w:rsidR="00F43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3D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(приобретение средств учета, устройств автоматического управления системами наружного освещения с прокладкой дополнительного кабеля</w:t>
            </w:r>
            <w:r w:rsidR="00F43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монтаж</w:t>
            </w:r>
            <w:r w:rsidR="00E165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  <w:p w:rsidR="00E53AB2" w:rsidRPr="00934BFB" w:rsidRDefault="00E53AB2" w:rsidP="00777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 Приамурский:</w:t>
            </w:r>
          </w:p>
          <w:p w:rsidR="00E53AB2" w:rsidRPr="006875C8" w:rsidRDefault="00E53AB2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ул. Амурская, 600 метров, 6 светильников;</w:t>
            </w:r>
          </w:p>
          <w:p w:rsidR="00E53AB2" w:rsidRPr="006875C8" w:rsidRDefault="007B6FAC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53AB2"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ул. </w:t>
            </w:r>
            <w:proofErr w:type="gramStart"/>
            <w:r w:rsidR="00E53AB2"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Зелёная</w:t>
            </w:r>
            <w:proofErr w:type="gramEnd"/>
            <w:r w:rsidR="00E53AB2"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1350 метров,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53AB2"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светильников;</w:t>
            </w:r>
          </w:p>
          <w:p w:rsidR="007B6FAC" w:rsidRDefault="007B6FAC" w:rsidP="007B6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ул. </w:t>
            </w:r>
            <w:proofErr w:type="gramStart"/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370 метров,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светильника;</w:t>
            </w:r>
          </w:p>
          <w:p w:rsidR="007B6FAC" w:rsidRDefault="007B6FAC" w:rsidP="007B6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  <w:proofErr w:type="gramEnd"/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2490 метров,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светильников;</w:t>
            </w:r>
          </w:p>
          <w:p w:rsidR="007B6FAC" w:rsidRPr="006875C8" w:rsidRDefault="007B6FAC" w:rsidP="007B6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ул. Гагарина, 1055 метров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светильников;</w:t>
            </w:r>
          </w:p>
          <w:p w:rsidR="007B6FAC" w:rsidRPr="006875C8" w:rsidRDefault="007B6FAC" w:rsidP="007B6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ул. Ленина, 2090 метров,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светильников;</w:t>
            </w:r>
          </w:p>
          <w:p w:rsidR="007B6FAC" w:rsidRPr="006875C8" w:rsidRDefault="007B6FAC" w:rsidP="007B6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ул. </w:t>
            </w:r>
            <w:proofErr w:type="gramStart"/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Хабаровская</w:t>
            </w:r>
            <w:proofErr w:type="gramEnd"/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1150 метров,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светильников;</w:t>
            </w:r>
          </w:p>
          <w:p w:rsidR="007B6FAC" w:rsidRPr="00E16547" w:rsidRDefault="00E53AB2" w:rsidP="00E16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4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34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34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934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Тельмана:</w:t>
            </w:r>
          </w:p>
          <w:p w:rsidR="007B6FAC" w:rsidRPr="00E20D9B" w:rsidRDefault="00867189" w:rsidP="007B6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B6FAC" w:rsidRPr="00E20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ул. </w:t>
            </w:r>
            <w:proofErr w:type="gramStart"/>
            <w:r w:rsidR="007B6FAC" w:rsidRPr="00E20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="007B6FAC" w:rsidRPr="00E20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2000 метров, 1</w:t>
            </w:r>
            <w:r w:rsidR="00E537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B6FAC" w:rsidRPr="00E20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светильников;</w:t>
            </w:r>
          </w:p>
          <w:p w:rsidR="007B6FAC" w:rsidRPr="007B6FAC" w:rsidRDefault="00867189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B6FAC" w:rsidRPr="00E20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ул. Кирова, 1600 метров, </w:t>
            </w:r>
            <w:r w:rsidR="00E537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="007B6FAC" w:rsidRPr="00E20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светильников</w:t>
            </w:r>
            <w:r w:rsidR="007B6F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53AB2" w:rsidRPr="00E20D9B" w:rsidRDefault="00867189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53AB2"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ул. Набережная, 2400 метров, 9 </w:t>
            </w:r>
            <w:r w:rsidR="00E53AB2" w:rsidRPr="00E20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светильников;</w:t>
            </w:r>
          </w:p>
          <w:p w:rsidR="00E53AB2" w:rsidRPr="00E20D9B" w:rsidRDefault="00867189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53AB2" w:rsidRPr="00E20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ул. </w:t>
            </w:r>
            <w:proofErr w:type="gramStart"/>
            <w:r w:rsidR="00E53AB2" w:rsidRPr="00E20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gramEnd"/>
            <w:r w:rsidR="00E53AB2" w:rsidRPr="00E20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2300 метров, 1</w:t>
            </w:r>
            <w:r w:rsidR="00116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53AB2" w:rsidRPr="00E20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светильников;</w:t>
            </w:r>
          </w:p>
          <w:p w:rsidR="00E53AB2" w:rsidRPr="006875C8" w:rsidRDefault="00E53AB2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ул. Калинина, 3500 метров, 1</w:t>
            </w:r>
            <w:r w:rsidR="00116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светильников;</w:t>
            </w:r>
          </w:p>
          <w:p w:rsidR="00E53AB2" w:rsidRPr="006875C8" w:rsidRDefault="00E53AB2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ул. </w:t>
            </w:r>
            <w:proofErr w:type="gramStart"/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Заозёрная</w:t>
            </w:r>
            <w:proofErr w:type="gramEnd"/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2100 метров,  1</w:t>
            </w:r>
            <w:r w:rsidR="00116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светильников;</w:t>
            </w:r>
          </w:p>
          <w:p w:rsidR="00E53AB2" w:rsidRPr="006875C8" w:rsidRDefault="00E53AB2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ул. Тельмана, 600 метров, 3 светильника; </w:t>
            </w:r>
          </w:p>
        </w:tc>
        <w:tc>
          <w:tcPr>
            <w:tcW w:w="1779" w:type="dxa"/>
          </w:tcPr>
          <w:p w:rsidR="00E53AB2" w:rsidRDefault="00E53AB2" w:rsidP="0077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B2" w:rsidRDefault="00E53AB2" w:rsidP="0077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B2" w:rsidRDefault="00E53AB2" w:rsidP="0077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B2" w:rsidRDefault="00E53AB2" w:rsidP="0077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B2" w:rsidRPr="006875C8" w:rsidRDefault="00E53AB2" w:rsidP="00E165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4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53AB2" w:rsidRDefault="007B6FAC" w:rsidP="00E165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4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53AB2" w:rsidRPr="006875C8" w:rsidRDefault="00E53AB2" w:rsidP="00E165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6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53AB2" w:rsidRPr="006875C8" w:rsidRDefault="00E53AB2" w:rsidP="00E165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6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53AB2" w:rsidRPr="006875C8" w:rsidRDefault="00E53AB2" w:rsidP="00E165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6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16547" w:rsidRDefault="00E16547" w:rsidP="0077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B2" w:rsidRPr="006875C8" w:rsidRDefault="00E53AB2" w:rsidP="00E165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6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B6FAC" w:rsidRDefault="00E53AB2" w:rsidP="00E165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E16547" w:rsidRDefault="00E16547" w:rsidP="00E165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B2" w:rsidRPr="008064CA" w:rsidRDefault="00E53AB2" w:rsidP="00E165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4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53AB2" w:rsidRDefault="00E53AB2" w:rsidP="00E1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4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53AB2" w:rsidRDefault="00E53AB2" w:rsidP="00E1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E53AB2" w:rsidRPr="008064CA" w:rsidRDefault="00E53AB2" w:rsidP="00E1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E53AB2" w:rsidRPr="006875C8" w:rsidRDefault="00E53AB2" w:rsidP="00E1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E53AB2" w:rsidRPr="006875C8" w:rsidRDefault="00E53AB2" w:rsidP="00E1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116D9D" w:rsidRPr="008064CA" w:rsidRDefault="00E53AB2" w:rsidP="00E1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119" w:type="dxa"/>
          </w:tcPr>
          <w:p w:rsidR="00E53AB2" w:rsidRPr="006875C8" w:rsidRDefault="00E53AB2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уровня освещенности в поселении,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освещенности улиц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Амурская, 600 метров,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Железнодорожная, 370 метров,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Садовая, 2490 метров, ул. Зелёная, 1350 метров, ул. Гагарина, 1055 метров  ул. Ленина, 2090 метров, ул. Хабаровская, 1150 метров,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Приамурский и</w:t>
            </w:r>
            <w:proofErr w:type="gramEnd"/>
          </w:p>
          <w:p w:rsidR="00E53AB2" w:rsidRPr="006875C8" w:rsidRDefault="00E53AB2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Набережная, 2400 метров, ул. Театральная, 2300 метров, ул. Школьная, 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2000 метров,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1600 метров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Калинина, 3500 метров,;</w:t>
            </w:r>
            <w:proofErr w:type="gramEnd"/>
          </w:p>
          <w:p w:rsidR="00E53AB2" w:rsidRPr="006875C8" w:rsidRDefault="00E53AB2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Заозёрная, 2100 метров,  ул. Тельмана, 600 метров,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им. Тельмана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нормативных требований.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E53AB2" w:rsidRPr="00115EED" w:rsidRDefault="00E53AB2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AB2" w:rsidRPr="00115EED" w:rsidTr="00E16547">
        <w:tc>
          <w:tcPr>
            <w:tcW w:w="560" w:type="dxa"/>
          </w:tcPr>
          <w:p w:rsidR="00E53AB2" w:rsidRPr="00115EED" w:rsidRDefault="00E53AB2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4" w:type="dxa"/>
          </w:tcPr>
          <w:p w:rsidR="00E53AB2" w:rsidRPr="00115EED" w:rsidRDefault="00E53AB2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Переоборудование находящихся в эксплуатации осветительных приборов 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света, обладающие более высокими технико-экономическими показателями</w:t>
            </w:r>
          </w:p>
        </w:tc>
        <w:tc>
          <w:tcPr>
            <w:tcW w:w="1779" w:type="dxa"/>
          </w:tcPr>
          <w:p w:rsidR="00E53AB2" w:rsidRPr="00115EED" w:rsidRDefault="00E53AB2" w:rsidP="00777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E53AB2" w:rsidRPr="006875C8" w:rsidRDefault="00E53AB2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освещенности в поселении, повышение энергетической </w:t>
            </w:r>
          </w:p>
          <w:p w:rsidR="00E53AB2" w:rsidRPr="00115EED" w:rsidRDefault="00E53AB2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</w:t>
            </w:r>
          </w:p>
        </w:tc>
      </w:tr>
      <w:tr w:rsidR="00E53AB2" w:rsidRPr="00115EED" w:rsidTr="00E16547">
        <w:tc>
          <w:tcPr>
            <w:tcW w:w="560" w:type="dxa"/>
          </w:tcPr>
          <w:p w:rsidR="00E53AB2" w:rsidRPr="00115EED" w:rsidRDefault="00E53AB2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4" w:type="dxa"/>
          </w:tcPr>
          <w:p w:rsidR="00E53AB2" w:rsidRPr="00115EED" w:rsidRDefault="00E53AB2" w:rsidP="0077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 непригодных для дальнейшей эксплуатации осветительных приборов и средств учета</w:t>
            </w:r>
          </w:p>
        </w:tc>
        <w:tc>
          <w:tcPr>
            <w:tcW w:w="1779" w:type="dxa"/>
          </w:tcPr>
          <w:p w:rsidR="00E53AB2" w:rsidRPr="00115EED" w:rsidRDefault="00E53AB2" w:rsidP="00777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E53AB2" w:rsidRPr="00115EED" w:rsidRDefault="00E53AB2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освещенности в поселении, повышение энергетической эффективности</w:t>
            </w:r>
          </w:p>
        </w:tc>
      </w:tr>
    </w:tbl>
    <w:p w:rsidR="00E53AB2" w:rsidRDefault="00E53AB2" w:rsidP="00A14CF3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FA1" w:rsidRDefault="00E53AB2" w:rsidP="00B95246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60E">
        <w:rPr>
          <w:rFonts w:ascii="Times New Roman" w:hAnsi="Times New Roman" w:cs="Times New Roman"/>
          <w:sz w:val="28"/>
          <w:szCs w:val="28"/>
        </w:rPr>
        <w:t>1.</w:t>
      </w:r>
      <w:r w:rsidR="00544C56">
        <w:rPr>
          <w:rFonts w:ascii="Times New Roman" w:hAnsi="Times New Roman" w:cs="Times New Roman"/>
          <w:sz w:val="28"/>
          <w:szCs w:val="28"/>
        </w:rPr>
        <w:t>2</w:t>
      </w:r>
      <w:r w:rsidR="00D90D86">
        <w:rPr>
          <w:rFonts w:ascii="Times New Roman" w:hAnsi="Times New Roman" w:cs="Times New Roman"/>
          <w:sz w:val="28"/>
          <w:szCs w:val="28"/>
        </w:rPr>
        <w:t>.</w:t>
      </w:r>
      <w:r w:rsidR="00EA460E">
        <w:rPr>
          <w:rFonts w:ascii="Times New Roman" w:hAnsi="Times New Roman" w:cs="Times New Roman"/>
          <w:sz w:val="28"/>
          <w:szCs w:val="28"/>
        </w:rPr>
        <w:t xml:space="preserve"> Раздел 4 </w:t>
      </w:r>
      <w:r w:rsidR="00F61FA1">
        <w:rPr>
          <w:rFonts w:ascii="Times New Roman" w:hAnsi="Times New Roman" w:cs="Times New Roman"/>
          <w:sz w:val="28"/>
          <w:szCs w:val="28"/>
        </w:rPr>
        <w:t xml:space="preserve"> </w:t>
      </w:r>
      <w:r w:rsidR="00EA460E">
        <w:rPr>
          <w:rFonts w:ascii="Times New Roman" w:hAnsi="Times New Roman" w:cs="Times New Roman"/>
          <w:sz w:val="28"/>
          <w:szCs w:val="28"/>
        </w:rPr>
        <w:t>«</w:t>
      </w:r>
      <w:r w:rsidR="00EA460E" w:rsidRPr="00EA460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Система программных мероприятий</w:t>
      </w:r>
      <w:r w:rsidR="00EA460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F61FA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61FA1" w:rsidRPr="0045429F" w:rsidRDefault="00F61FA1" w:rsidP="00EA460E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4.Система программных мероприятий</w:t>
      </w:r>
    </w:p>
    <w:p w:rsidR="00A14CF3" w:rsidRPr="00637990" w:rsidRDefault="00F10814" w:rsidP="00EA460E">
      <w:pPr>
        <w:spacing w:after="0" w:line="240" w:lineRule="auto"/>
        <w:ind w:firstLine="181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429F">
        <w:rPr>
          <w:rFonts w:ascii="Times New Roman" w:hAnsi="Times New Roman" w:cs="Times New Roman"/>
          <w:sz w:val="28"/>
          <w:szCs w:val="28"/>
        </w:rPr>
        <w:tab/>
      </w:r>
      <w:r w:rsidR="00A14CF3"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по </w:t>
      </w:r>
      <w:r w:rsidR="00A14C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реализации Программы на</w:t>
      </w:r>
      <w:r w:rsidR="00A14CF3"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 w:rsidR="00A14C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14CF3"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 «</w:t>
      </w:r>
      <w:r w:rsidR="00A14C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Приамурское городское поселение</w:t>
      </w:r>
      <w:r w:rsidR="00A14CF3"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на </w:t>
      </w:r>
      <w:r w:rsidR="00A14C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2015</w:t>
      </w:r>
      <w:r w:rsidR="00A14CF3"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A14C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2017</w:t>
      </w:r>
      <w:r w:rsidR="00A14CF3"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годы приведен в табл</w:t>
      </w:r>
      <w:r w:rsidR="00A14C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ице 2</w:t>
      </w:r>
    </w:p>
    <w:p w:rsidR="00A14CF3" w:rsidRPr="00637990" w:rsidRDefault="00A14CF3" w:rsidP="00A14C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4CF3" w:rsidRDefault="00A14CF3" w:rsidP="00A14CF3">
      <w:pPr>
        <w:spacing w:after="0" w:line="240" w:lineRule="auto"/>
        <w:ind w:firstLine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3166"/>
        <w:gridCol w:w="1102"/>
        <w:gridCol w:w="1276"/>
        <w:gridCol w:w="851"/>
        <w:gridCol w:w="1018"/>
        <w:gridCol w:w="947"/>
        <w:gridCol w:w="728"/>
      </w:tblGrid>
      <w:tr w:rsidR="00A14CF3" w:rsidRPr="00115EED" w:rsidTr="00B95246">
        <w:trPr>
          <w:trHeight w:val="144"/>
        </w:trPr>
        <w:tc>
          <w:tcPr>
            <w:tcW w:w="624" w:type="dxa"/>
            <w:vMerge w:val="restart"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66" w:type="dxa"/>
            <w:vMerge w:val="restart"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  <w:p w:rsidR="00A14CF3" w:rsidRPr="002473E5" w:rsidRDefault="00A14CF3" w:rsidP="004A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F3" w:rsidRPr="002473E5" w:rsidRDefault="00A14CF3" w:rsidP="004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всего, тыс</w:t>
            </w:r>
            <w:proofErr w:type="gramStart"/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145" w:type="dxa"/>
            <w:gridSpan w:val="3"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срокам</w:t>
            </w:r>
          </w:p>
        </w:tc>
        <w:tc>
          <w:tcPr>
            <w:tcW w:w="947" w:type="dxa"/>
            <w:vMerge w:val="restart"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Исполнители программных мероприятий </w:t>
            </w:r>
          </w:p>
        </w:tc>
        <w:tc>
          <w:tcPr>
            <w:tcW w:w="728" w:type="dxa"/>
            <w:vMerge w:val="restart"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A14CF3" w:rsidRPr="00115EED" w:rsidTr="00B95246">
        <w:trPr>
          <w:trHeight w:val="144"/>
        </w:trPr>
        <w:tc>
          <w:tcPr>
            <w:tcW w:w="624" w:type="dxa"/>
            <w:vMerge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vMerge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8" w:type="dxa"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7" w:type="dxa"/>
            <w:vMerge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CF3" w:rsidRPr="00115EED" w:rsidTr="00B95246">
        <w:trPr>
          <w:trHeight w:val="8496"/>
        </w:trPr>
        <w:tc>
          <w:tcPr>
            <w:tcW w:w="624" w:type="dxa"/>
          </w:tcPr>
          <w:p w:rsidR="00A14CF3" w:rsidRPr="00115EED" w:rsidRDefault="00A14CF3" w:rsidP="004A6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166" w:type="dxa"/>
          </w:tcPr>
          <w:p w:rsidR="00E16547" w:rsidRDefault="00E16547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наружного уличного освещения (приобретение средств учета, устройств автоматического управления системами наружного освещения с прокладкой дополнительного кабеля</w:t>
            </w:r>
            <w:r w:rsidR="00F43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монтаж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  <w:p w:rsidR="00A14CF3" w:rsidRPr="006875C8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 Приамурский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14CF3" w:rsidRPr="006875C8" w:rsidRDefault="00A14CF3" w:rsidP="004A6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ул. Амурская, 600 метров, 6 светильников;</w:t>
            </w:r>
          </w:p>
          <w:p w:rsidR="00A14CF3" w:rsidRPr="006875C8" w:rsidRDefault="00A14CF3" w:rsidP="004A6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ул. </w:t>
            </w:r>
            <w:proofErr w:type="gramStart"/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370 метров, </w:t>
            </w:r>
            <w:r w:rsidR="008671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светильника;</w:t>
            </w:r>
          </w:p>
          <w:p w:rsidR="00A14CF3" w:rsidRPr="006875C8" w:rsidRDefault="00A14CF3" w:rsidP="004A6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ул</w:t>
            </w:r>
            <w:r w:rsidR="00F432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  <w:proofErr w:type="gramEnd"/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2490 метров, </w:t>
            </w:r>
            <w:r w:rsidR="00E537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светильников;</w:t>
            </w:r>
          </w:p>
          <w:p w:rsidR="00A14CF3" w:rsidRPr="006875C8" w:rsidRDefault="00A14CF3" w:rsidP="004A6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ул. </w:t>
            </w:r>
            <w:proofErr w:type="gramStart"/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Зелёная</w:t>
            </w:r>
            <w:proofErr w:type="gramEnd"/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1350 метров, </w:t>
            </w:r>
            <w:r w:rsidR="008671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светильников;</w:t>
            </w:r>
          </w:p>
          <w:p w:rsidR="00A14CF3" w:rsidRPr="006875C8" w:rsidRDefault="00A14CF3" w:rsidP="004A6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ул. Гагарина, 1055 метров </w:t>
            </w:r>
            <w:r w:rsidR="00E537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светильников;</w:t>
            </w:r>
          </w:p>
          <w:p w:rsidR="00A14CF3" w:rsidRPr="006875C8" w:rsidRDefault="00A14CF3" w:rsidP="004A6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ул. Ленина, 2090 метров, </w:t>
            </w:r>
            <w:r w:rsidR="00E537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светильников;</w:t>
            </w:r>
          </w:p>
          <w:p w:rsidR="00A14CF3" w:rsidRDefault="00A14CF3" w:rsidP="00E5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ул. </w:t>
            </w:r>
            <w:proofErr w:type="gramStart"/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Хабаровская</w:t>
            </w:r>
            <w:proofErr w:type="gramEnd"/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1150 метров,</w:t>
            </w:r>
            <w:r w:rsidR="00E537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светильников;</w:t>
            </w:r>
          </w:p>
          <w:p w:rsidR="00D90D86" w:rsidRPr="00E20D9B" w:rsidRDefault="00D90D86" w:rsidP="00D90D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20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ул. </w:t>
            </w:r>
            <w:proofErr w:type="gramStart"/>
            <w:r w:rsidRPr="00E20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E20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2000 метров,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E20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светильников;</w:t>
            </w:r>
          </w:p>
          <w:p w:rsidR="00D90D86" w:rsidRPr="007B6FAC" w:rsidRDefault="00D90D86" w:rsidP="00D90D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20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ул. Кирова, 1600 метров,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E20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светильников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90D86" w:rsidRPr="00E16547" w:rsidRDefault="00D90D86" w:rsidP="00E53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ул. Набережная, 2400 метров, 9 </w:t>
            </w:r>
            <w:r w:rsidRPr="00E20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светильников;</w:t>
            </w:r>
          </w:p>
        </w:tc>
        <w:tc>
          <w:tcPr>
            <w:tcW w:w="1102" w:type="dxa"/>
          </w:tcPr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1863" w:rsidRDefault="0012186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1863" w:rsidRDefault="0012186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F01" w:rsidRDefault="00456F01" w:rsidP="008F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F8" w:rsidRDefault="00E16547" w:rsidP="00E16547">
            <w:pPr>
              <w:spacing w:after="0" w:line="240" w:lineRule="auto"/>
              <w:ind w:right="-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83,42967</w:t>
            </w:r>
          </w:p>
          <w:p w:rsidR="008F3CF8" w:rsidRDefault="008F3CF8" w:rsidP="008F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F8" w:rsidRDefault="008F3CF8" w:rsidP="008F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70" w:rsidRDefault="00375670" w:rsidP="008F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F8" w:rsidRDefault="008F3CF8" w:rsidP="008F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70" w:rsidRDefault="00375670" w:rsidP="008F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F8" w:rsidRDefault="00E5372F" w:rsidP="008F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</w:t>
            </w:r>
            <w:r w:rsidR="00CE1D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F3CF8" w:rsidRDefault="008F3CF8" w:rsidP="008F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70" w:rsidRDefault="00375670" w:rsidP="00D9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70" w:rsidRDefault="00375670" w:rsidP="00D9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70" w:rsidRDefault="00375670" w:rsidP="00D9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70" w:rsidRDefault="00375670" w:rsidP="00D9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70" w:rsidRDefault="00375670" w:rsidP="00D9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70" w:rsidRDefault="00375670" w:rsidP="00D9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86" w:rsidRDefault="00D90D86" w:rsidP="00D90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</w:t>
            </w:r>
            <w:r w:rsidR="00544C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  <w:p w:rsidR="00D90D86" w:rsidRDefault="00D90D86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86" w:rsidRDefault="00D90D86" w:rsidP="00D90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122,36</w:t>
            </w:r>
          </w:p>
          <w:p w:rsidR="00D90D86" w:rsidRDefault="00D90D86" w:rsidP="00D90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D86" w:rsidRPr="00C754DF" w:rsidRDefault="00D90D86" w:rsidP="00375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F3" w:rsidRDefault="00A14CF3" w:rsidP="004A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F3" w:rsidRDefault="00A14CF3" w:rsidP="004A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63" w:rsidRDefault="00121863" w:rsidP="004A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63" w:rsidRDefault="00121863" w:rsidP="004A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F3" w:rsidRDefault="00A14CF3" w:rsidP="004A6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4A" w:rsidRDefault="00CE1D4A" w:rsidP="008F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56" w:rsidRDefault="00544C56" w:rsidP="008F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F8" w:rsidRDefault="00E16547" w:rsidP="008F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83,42967</w:t>
            </w:r>
          </w:p>
          <w:p w:rsidR="008F3CF8" w:rsidRDefault="008F3CF8" w:rsidP="008F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F8" w:rsidRDefault="008F3CF8" w:rsidP="008F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9" w:rsidRDefault="00867189" w:rsidP="008F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F8" w:rsidRDefault="008F3CF8" w:rsidP="008F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9" w:rsidRDefault="00867189" w:rsidP="008F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9" w:rsidRDefault="00A43269" w:rsidP="0086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111,42</w:t>
            </w:r>
          </w:p>
          <w:p w:rsidR="008F3CF8" w:rsidRDefault="008F3CF8" w:rsidP="008F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9" w:rsidRDefault="00867189" w:rsidP="008F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F8" w:rsidRDefault="008F3CF8" w:rsidP="008F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9" w:rsidRDefault="00867189" w:rsidP="008F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D86" w:rsidRDefault="00D90D86" w:rsidP="00D90D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</w:t>
            </w:r>
            <w:r w:rsidR="00544C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  <w:p w:rsidR="00D90D86" w:rsidRPr="00115EED" w:rsidRDefault="00D90D86" w:rsidP="00E165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122,36</w:t>
            </w:r>
          </w:p>
        </w:tc>
        <w:tc>
          <w:tcPr>
            <w:tcW w:w="851" w:type="dxa"/>
          </w:tcPr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D86" w:rsidRDefault="00D90D86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0D86" w:rsidRPr="00115EED" w:rsidRDefault="00D90D86" w:rsidP="00456F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C77" w:rsidRPr="00115EED" w:rsidRDefault="00610C77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728" w:type="dxa"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см. колонку №4 таблицы №1</w:t>
            </w:r>
          </w:p>
        </w:tc>
      </w:tr>
      <w:tr w:rsidR="00A14CF3" w:rsidRPr="00115EED" w:rsidTr="00B95246">
        <w:trPr>
          <w:trHeight w:val="2688"/>
        </w:trPr>
        <w:tc>
          <w:tcPr>
            <w:tcW w:w="624" w:type="dxa"/>
            <w:tcBorders>
              <w:top w:val="nil"/>
            </w:tcBorders>
          </w:tcPr>
          <w:p w:rsidR="00A14CF3" w:rsidRDefault="00A14CF3" w:rsidP="004A6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867189" w:rsidRPr="00E20D9B" w:rsidRDefault="00867189" w:rsidP="008671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189" w:rsidRPr="00E20D9B" w:rsidRDefault="00867189" w:rsidP="008671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E20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ул. </w:t>
            </w:r>
            <w:proofErr w:type="gramStart"/>
            <w:r w:rsidRPr="00E20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E20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2300 метров, 1</w:t>
            </w:r>
            <w:r w:rsidR="00EB4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20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светильников;</w:t>
            </w:r>
          </w:p>
          <w:p w:rsidR="00867189" w:rsidRPr="006875C8" w:rsidRDefault="00867189" w:rsidP="008671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ул. Калинина, 3500 метров, </w:t>
            </w:r>
            <w:r w:rsidR="00EB4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светильников;</w:t>
            </w:r>
          </w:p>
          <w:p w:rsidR="00867189" w:rsidRPr="006875C8" w:rsidRDefault="00867189" w:rsidP="008671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ул. </w:t>
            </w:r>
            <w:proofErr w:type="gramStart"/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Заозёрная</w:t>
            </w:r>
            <w:proofErr w:type="gramEnd"/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2100 метров,  </w:t>
            </w:r>
            <w:r w:rsidR="00EB4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светильников;</w:t>
            </w:r>
          </w:p>
          <w:p w:rsidR="00A14CF3" w:rsidRPr="006875C8" w:rsidRDefault="00867189" w:rsidP="00E1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ул. Тельмана, 600 метров, 3 светильника;</w:t>
            </w:r>
          </w:p>
        </w:tc>
        <w:tc>
          <w:tcPr>
            <w:tcW w:w="1102" w:type="dxa"/>
          </w:tcPr>
          <w:p w:rsidR="00EB4A38" w:rsidRDefault="00EB4A38" w:rsidP="00E53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A38" w:rsidRDefault="00EB4A38" w:rsidP="00E53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7189" w:rsidRDefault="00867189" w:rsidP="004A62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189" w:rsidRDefault="00867189" w:rsidP="004A62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10C77" w:rsidRDefault="00610C77" w:rsidP="004A6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C77" w:rsidRDefault="00610C77" w:rsidP="004A6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C77" w:rsidRDefault="00610C77" w:rsidP="00610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C77" w:rsidRDefault="00610C77" w:rsidP="00610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C77" w:rsidRDefault="00610C77" w:rsidP="00610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D90D86" w:rsidRDefault="00D90D86" w:rsidP="00610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C77" w:rsidRDefault="00610C77" w:rsidP="00610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A14CF3" w:rsidRPr="00115EED" w:rsidRDefault="00A14CF3" w:rsidP="004A6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A14CF3" w:rsidRDefault="00A14CF3" w:rsidP="004A6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CF3" w:rsidRPr="00115EED" w:rsidTr="00B95246">
        <w:trPr>
          <w:trHeight w:val="70"/>
        </w:trPr>
        <w:tc>
          <w:tcPr>
            <w:tcW w:w="624" w:type="dxa"/>
          </w:tcPr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A14CF3" w:rsidRPr="006875C8" w:rsidRDefault="00A14CF3" w:rsidP="004A6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МОНТАЖУ</w:t>
            </w:r>
          </w:p>
        </w:tc>
        <w:tc>
          <w:tcPr>
            <w:tcW w:w="1102" w:type="dxa"/>
          </w:tcPr>
          <w:p w:rsidR="00A14CF3" w:rsidRDefault="00E16547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989,48567</w:t>
            </w:r>
          </w:p>
        </w:tc>
        <w:tc>
          <w:tcPr>
            <w:tcW w:w="1276" w:type="dxa"/>
          </w:tcPr>
          <w:p w:rsidR="00A14CF3" w:rsidRDefault="00E16547" w:rsidP="00B95246">
            <w:pP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439,48567</w:t>
            </w:r>
          </w:p>
        </w:tc>
        <w:tc>
          <w:tcPr>
            <w:tcW w:w="851" w:type="dxa"/>
          </w:tcPr>
          <w:p w:rsidR="00A14CF3" w:rsidRPr="00115EED" w:rsidRDefault="00456F01" w:rsidP="00456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 </w:t>
            </w:r>
            <w:r w:rsidR="008671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</w:tcPr>
          <w:p w:rsidR="00A14CF3" w:rsidRPr="00115EED" w:rsidRDefault="00867189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47" w:type="dxa"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A14CF3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CF3" w:rsidRPr="00115EED" w:rsidTr="00B95246">
        <w:trPr>
          <w:trHeight w:val="1923"/>
        </w:trPr>
        <w:tc>
          <w:tcPr>
            <w:tcW w:w="624" w:type="dxa"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6" w:type="dxa"/>
          </w:tcPr>
          <w:p w:rsidR="00A14CF3" w:rsidRPr="00115EED" w:rsidRDefault="00A14CF3" w:rsidP="00E856B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5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Переоборудование</w:t>
            </w:r>
            <w:proofErr w:type="gramEnd"/>
            <w:r w:rsidRPr="00115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находящ</w:t>
            </w:r>
            <w:r w:rsidR="00E85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Pr="00115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 в эксплуатации осветительных приборов на источники света, обладающие более высокими технико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5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экономическими показателями (20шт.)</w:t>
            </w:r>
          </w:p>
        </w:tc>
        <w:tc>
          <w:tcPr>
            <w:tcW w:w="1102" w:type="dxa"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728" w:type="dxa"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CF3" w:rsidRPr="00115EED" w:rsidTr="00B95246">
        <w:trPr>
          <w:trHeight w:val="1112"/>
        </w:trPr>
        <w:tc>
          <w:tcPr>
            <w:tcW w:w="624" w:type="dxa"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66" w:type="dxa"/>
          </w:tcPr>
          <w:p w:rsidR="00A14CF3" w:rsidRPr="00115EED" w:rsidRDefault="00A14CF3" w:rsidP="004A62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 непригодных для дальнейшей эксплуатации осветительных приборов и средств учета (40 шт.)</w:t>
            </w:r>
          </w:p>
        </w:tc>
        <w:tc>
          <w:tcPr>
            <w:tcW w:w="1102" w:type="dxa"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728" w:type="dxa"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CF3" w:rsidRPr="00115EED" w:rsidTr="00B95246">
        <w:trPr>
          <w:trHeight w:val="286"/>
        </w:trPr>
        <w:tc>
          <w:tcPr>
            <w:tcW w:w="624" w:type="dxa"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A14CF3" w:rsidRPr="00115EED" w:rsidRDefault="00A14CF3" w:rsidP="004A62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E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2" w:type="dxa"/>
          </w:tcPr>
          <w:p w:rsidR="00A14CF3" w:rsidRPr="00115EED" w:rsidRDefault="00F432A0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989,485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276" w:type="dxa"/>
          </w:tcPr>
          <w:p w:rsidR="00A14CF3" w:rsidRPr="00115EED" w:rsidRDefault="00B95246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439,48567</w:t>
            </w:r>
          </w:p>
        </w:tc>
        <w:tc>
          <w:tcPr>
            <w:tcW w:w="851" w:type="dxa"/>
          </w:tcPr>
          <w:p w:rsidR="00A14CF3" w:rsidRPr="00115EED" w:rsidRDefault="00456F01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8" w:type="dxa"/>
          </w:tcPr>
          <w:p w:rsidR="00A14CF3" w:rsidRPr="00115EED" w:rsidRDefault="0047143D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47" w:type="dxa"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A14CF3" w:rsidRPr="00115EED" w:rsidRDefault="00A14CF3" w:rsidP="004A6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4CF3" w:rsidRDefault="00EA460E" w:rsidP="00EA460E">
      <w:pPr>
        <w:spacing w:after="0" w:line="240" w:lineRule="auto"/>
        <w:ind w:firstLine="1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»</w:t>
      </w:r>
    </w:p>
    <w:p w:rsidR="008F3CF8" w:rsidRDefault="00EA460E" w:rsidP="00B95246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4C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F3CF8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460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Ресурсное обеспечение Программы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CF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7143D" w:rsidRPr="0047143D" w:rsidRDefault="0047143D" w:rsidP="0047143D">
      <w:pPr>
        <w:spacing w:after="0" w:line="240" w:lineRule="auto"/>
        <w:ind w:firstLine="1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 </w:t>
      </w:r>
      <w:r w:rsidRPr="0063799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 Ресурсное обеспечение Программы</w:t>
      </w:r>
    </w:p>
    <w:p w:rsidR="00EA460E" w:rsidRPr="00637990" w:rsidRDefault="008F3CF8" w:rsidP="00EA46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A460E"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реализуется за счет средств бюджета МО «</w:t>
      </w:r>
      <w:r w:rsidR="00EA46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Приамурское городское поселение</w:t>
      </w:r>
      <w:r w:rsidR="00EA460E"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A460E" w:rsidRPr="00637990" w:rsidRDefault="00EA460E" w:rsidP="00EA460E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Общий объем средств, необходимых на реализацию Программы в 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2017</w:t>
      </w:r>
      <w:r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годах составляет: из средств бюджета </w:t>
      </w:r>
      <w:r w:rsidR="00F432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989 485</w:t>
      </w:r>
      <w:r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F432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67 копеек</w:t>
      </w:r>
      <w:r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том числе по годам:</w:t>
      </w:r>
    </w:p>
    <w:p w:rsidR="008F3CF8" w:rsidRPr="00637990" w:rsidRDefault="008F3CF8" w:rsidP="008F3CF8">
      <w:pPr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2015</w:t>
      </w:r>
      <w:r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 w:rsidR="00F432A0" w:rsidRPr="00746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439 485 рублей 67коп</w:t>
      </w:r>
      <w:r w:rsidR="00F432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3CF8" w:rsidRPr="00867189" w:rsidRDefault="008F3CF8" w:rsidP="008F3CF8">
      <w:pPr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2016</w:t>
      </w:r>
      <w:r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 w:rsidR="00456F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50</w:t>
      </w:r>
      <w:r w:rsidR="00867189" w:rsidRPr="0086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00</w:t>
      </w:r>
      <w:r w:rsidR="00167019" w:rsidRPr="0086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="00867189" w:rsidRPr="0086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8F3CF8" w:rsidRPr="00637990" w:rsidRDefault="008F3CF8" w:rsidP="008F3CF8">
      <w:pPr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2017 год – </w:t>
      </w:r>
      <w:r w:rsidR="00867189" w:rsidRPr="0086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500  000 </w:t>
      </w:r>
      <w:r w:rsidRPr="008671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3CF8" w:rsidRDefault="0047143D" w:rsidP="004714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Объемы финансовых средств, предусмотренных на реализацию Программы, подлежат ежегодному уточнению при формировании бюджета МО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Приамурское городское поселение</w:t>
      </w:r>
      <w:r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на очередной финансовый год.</w:t>
      </w:r>
    </w:p>
    <w:p w:rsidR="00793B6F" w:rsidRDefault="0047143D" w:rsidP="00793B6F">
      <w:pPr>
        <w:pStyle w:val="a6"/>
        <w:tabs>
          <w:tab w:val="left" w:pos="1080"/>
          <w:tab w:val="left" w:pos="1260"/>
        </w:tabs>
        <w:ind w:left="142" w:hanging="142"/>
      </w:pPr>
      <w:r>
        <w:tab/>
        <w:t xml:space="preserve">      2</w:t>
      </w:r>
      <w:r w:rsidR="00793B6F">
        <w:t>.Опубликовать постановление в информационном бюллетене  «Приамурский вестник».</w:t>
      </w:r>
    </w:p>
    <w:p w:rsidR="00793B6F" w:rsidRDefault="00793B6F" w:rsidP="00793B6F">
      <w:pPr>
        <w:pStyle w:val="a6"/>
        <w:tabs>
          <w:tab w:val="left" w:pos="1080"/>
          <w:tab w:val="left" w:pos="1260"/>
        </w:tabs>
        <w:ind w:firstLine="0"/>
      </w:pPr>
      <w:r>
        <w:t xml:space="preserve">         </w:t>
      </w:r>
      <w:r w:rsidR="0047143D">
        <w:t>3</w:t>
      </w:r>
      <w:r>
        <w:t>. Постановление вступает в силу после дня его официального опубликования.</w:t>
      </w:r>
    </w:p>
    <w:p w:rsidR="00EE11F0" w:rsidRPr="00696050" w:rsidRDefault="00EE11F0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0814" w:rsidRPr="00696050" w:rsidRDefault="00F10814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3ADD" w:rsidRPr="00696050" w:rsidRDefault="00544C56" w:rsidP="00F108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B63ADD" w:rsidRPr="0069605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63ADD" w:rsidRPr="00696050">
        <w:rPr>
          <w:sz w:val="28"/>
          <w:szCs w:val="28"/>
        </w:rPr>
        <w:t xml:space="preserve"> </w:t>
      </w:r>
      <w:r w:rsidR="00F10814" w:rsidRPr="00696050">
        <w:rPr>
          <w:sz w:val="28"/>
          <w:szCs w:val="28"/>
        </w:rPr>
        <w:t>администрации</w:t>
      </w:r>
    </w:p>
    <w:p w:rsidR="00A14CF3" w:rsidRPr="003B19F3" w:rsidRDefault="00F10814" w:rsidP="003B19F3">
      <w:pPr>
        <w:pStyle w:val="a3"/>
        <w:spacing w:before="0" w:beforeAutospacing="0" w:after="0" w:afterAutospacing="0"/>
        <w:rPr>
          <w:sz w:val="28"/>
          <w:szCs w:val="28"/>
        </w:rPr>
      </w:pPr>
      <w:r w:rsidRPr="00696050">
        <w:rPr>
          <w:sz w:val="28"/>
          <w:szCs w:val="28"/>
        </w:rPr>
        <w:t>Приамур</w:t>
      </w:r>
      <w:r w:rsidR="00696050">
        <w:rPr>
          <w:sz w:val="28"/>
          <w:szCs w:val="28"/>
        </w:rPr>
        <w:t>ского городского поселения</w:t>
      </w:r>
      <w:r w:rsidR="00696050"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3B19F3">
        <w:rPr>
          <w:sz w:val="28"/>
          <w:szCs w:val="28"/>
        </w:rPr>
        <w:t xml:space="preserve">      </w:t>
      </w:r>
      <w:r w:rsidR="00544C56">
        <w:rPr>
          <w:sz w:val="28"/>
          <w:szCs w:val="28"/>
        </w:rPr>
        <w:t>Н.Ш. Жилина</w:t>
      </w:r>
    </w:p>
    <w:p w:rsidR="00A14CF3" w:rsidRDefault="00A14CF3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C1A53" w:rsidRDefault="00EC1A53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E12BB" w:rsidRPr="00696050" w:rsidRDefault="006E12BB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3B19F3" w:rsidRDefault="003B19F3">
      <w:pPr>
        <w:rPr>
          <w:rFonts w:ascii="Times New Roman" w:hAnsi="Times New Roman" w:cs="Times New Roman"/>
          <w:sz w:val="28"/>
          <w:szCs w:val="28"/>
        </w:rPr>
      </w:pPr>
    </w:p>
    <w:p w:rsidR="00793B6F" w:rsidRDefault="00793B6F">
      <w:pPr>
        <w:rPr>
          <w:rFonts w:ascii="Times New Roman" w:hAnsi="Times New Roman" w:cs="Times New Roman"/>
          <w:sz w:val="28"/>
          <w:szCs w:val="28"/>
        </w:rPr>
      </w:pPr>
    </w:p>
    <w:p w:rsidR="003B19F3" w:rsidRPr="00AF7848" w:rsidRDefault="003B19F3">
      <w:pPr>
        <w:rPr>
          <w:rFonts w:ascii="Times New Roman" w:hAnsi="Times New Roman" w:cs="Times New Roman"/>
          <w:sz w:val="28"/>
          <w:szCs w:val="28"/>
        </w:rPr>
      </w:pPr>
    </w:p>
    <w:sectPr w:rsidR="003B19F3" w:rsidRPr="00AF7848" w:rsidSect="00D90D86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B49CA"/>
    <w:multiLevelType w:val="multilevel"/>
    <w:tmpl w:val="06A8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30"/>
    <w:rsid w:val="00062D43"/>
    <w:rsid w:val="000666F0"/>
    <w:rsid w:val="00087771"/>
    <w:rsid w:val="000A4174"/>
    <w:rsid w:val="000D2084"/>
    <w:rsid w:val="000D3F27"/>
    <w:rsid w:val="00116D9D"/>
    <w:rsid w:val="00121863"/>
    <w:rsid w:val="001239D1"/>
    <w:rsid w:val="00134D04"/>
    <w:rsid w:val="001659FF"/>
    <w:rsid w:val="00167019"/>
    <w:rsid w:val="001766E8"/>
    <w:rsid w:val="001A11BC"/>
    <w:rsid w:val="001A2DF3"/>
    <w:rsid w:val="001C0BC2"/>
    <w:rsid w:val="001C0CB6"/>
    <w:rsid w:val="001D5901"/>
    <w:rsid w:val="001E4B25"/>
    <w:rsid w:val="00252526"/>
    <w:rsid w:val="00274BA2"/>
    <w:rsid w:val="00283FDF"/>
    <w:rsid w:val="0029248A"/>
    <w:rsid w:val="002A03E3"/>
    <w:rsid w:val="002A1006"/>
    <w:rsid w:val="002A21EC"/>
    <w:rsid w:val="002E2927"/>
    <w:rsid w:val="002F4F62"/>
    <w:rsid w:val="003010F0"/>
    <w:rsid w:val="00323F19"/>
    <w:rsid w:val="0033738B"/>
    <w:rsid w:val="00345568"/>
    <w:rsid w:val="00357E85"/>
    <w:rsid w:val="00375670"/>
    <w:rsid w:val="003B19F3"/>
    <w:rsid w:val="003B2145"/>
    <w:rsid w:val="003B5DDC"/>
    <w:rsid w:val="003D63C7"/>
    <w:rsid w:val="003F01CA"/>
    <w:rsid w:val="004071E2"/>
    <w:rsid w:val="0042619B"/>
    <w:rsid w:val="00453B76"/>
    <w:rsid w:val="0045429F"/>
    <w:rsid w:val="00456F01"/>
    <w:rsid w:val="0047143D"/>
    <w:rsid w:val="004803C1"/>
    <w:rsid w:val="0048661D"/>
    <w:rsid w:val="00497E7D"/>
    <w:rsid w:val="00544C56"/>
    <w:rsid w:val="0059174D"/>
    <w:rsid w:val="005E3DC7"/>
    <w:rsid w:val="005F10AA"/>
    <w:rsid w:val="006027B4"/>
    <w:rsid w:val="00610C77"/>
    <w:rsid w:val="00613BF6"/>
    <w:rsid w:val="006159BB"/>
    <w:rsid w:val="00620B69"/>
    <w:rsid w:val="006362EB"/>
    <w:rsid w:val="00647E39"/>
    <w:rsid w:val="006755C6"/>
    <w:rsid w:val="0067708C"/>
    <w:rsid w:val="0068351F"/>
    <w:rsid w:val="00696050"/>
    <w:rsid w:val="006A4B2E"/>
    <w:rsid w:val="006D0E11"/>
    <w:rsid w:val="006E12BB"/>
    <w:rsid w:val="006E3EB1"/>
    <w:rsid w:val="006F39A8"/>
    <w:rsid w:val="007031BD"/>
    <w:rsid w:val="007213E2"/>
    <w:rsid w:val="007462E0"/>
    <w:rsid w:val="0075254F"/>
    <w:rsid w:val="00756F8B"/>
    <w:rsid w:val="007643DE"/>
    <w:rsid w:val="00776F44"/>
    <w:rsid w:val="0077789F"/>
    <w:rsid w:val="007848E5"/>
    <w:rsid w:val="00791894"/>
    <w:rsid w:val="00793B6F"/>
    <w:rsid w:val="007B6FAC"/>
    <w:rsid w:val="007B7C4F"/>
    <w:rsid w:val="007D064F"/>
    <w:rsid w:val="007D4161"/>
    <w:rsid w:val="007E7BE9"/>
    <w:rsid w:val="00840C66"/>
    <w:rsid w:val="008462C3"/>
    <w:rsid w:val="008478D7"/>
    <w:rsid w:val="00856509"/>
    <w:rsid w:val="00863E16"/>
    <w:rsid w:val="00867189"/>
    <w:rsid w:val="0087543D"/>
    <w:rsid w:val="008A4F72"/>
    <w:rsid w:val="008C2120"/>
    <w:rsid w:val="008F3CF8"/>
    <w:rsid w:val="00935D7E"/>
    <w:rsid w:val="00995CBF"/>
    <w:rsid w:val="00A14CF3"/>
    <w:rsid w:val="00A162B9"/>
    <w:rsid w:val="00A43269"/>
    <w:rsid w:val="00A4722B"/>
    <w:rsid w:val="00A5231B"/>
    <w:rsid w:val="00A55A5F"/>
    <w:rsid w:val="00A70ACE"/>
    <w:rsid w:val="00A9546D"/>
    <w:rsid w:val="00A96635"/>
    <w:rsid w:val="00AB60A1"/>
    <w:rsid w:val="00AE0DEC"/>
    <w:rsid w:val="00AE1EEF"/>
    <w:rsid w:val="00AF7848"/>
    <w:rsid w:val="00B040F9"/>
    <w:rsid w:val="00B51F0C"/>
    <w:rsid w:val="00B5547B"/>
    <w:rsid w:val="00B63ADD"/>
    <w:rsid w:val="00B73D21"/>
    <w:rsid w:val="00B95246"/>
    <w:rsid w:val="00BF59CA"/>
    <w:rsid w:val="00C07A9B"/>
    <w:rsid w:val="00C41DFE"/>
    <w:rsid w:val="00C424CE"/>
    <w:rsid w:val="00C61393"/>
    <w:rsid w:val="00C771B9"/>
    <w:rsid w:val="00C8122F"/>
    <w:rsid w:val="00CB4F31"/>
    <w:rsid w:val="00CB6E30"/>
    <w:rsid w:val="00CD1A79"/>
    <w:rsid w:val="00CE1D4A"/>
    <w:rsid w:val="00CE4F69"/>
    <w:rsid w:val="00D15C50"/>
    <w:rsid w:val="00D16D34"/>
    <w:rsid w:val="00D21409"/>
    <w:rsid w:val="00D5126D"/>
    <w:rsid w:val="00D56A27"/>
    <w:rsid w:val="00D90D86"/>
    <w:rsid w:val="00DB0DF7"/>
    <w:rsid w:val="00DC2550"/>
    <w:rsid w:val="00DD7C22"/>
    <w:rsid w:val="00E16547"/>
    <w:rsid w:val="00E27A2B"/>
    <w:rsid w:val="00E360BC"/>
    <w:rsid w:val="00E5372F"/>
    <w:rsid w:val="00E53AB2"/>
    <w:rsid w:val="00E856BE"/>
    <w:rsid w:val="00E94E74"/>
    <w:rsid w:val="00EA460E"/>
    <w:rsid w:val="00EA66C3"/>
    <w:rsid w:val="00EB4A38"/>
    <w:rsid w:val="00EC038B"/>
    <w:rsid w:val="00EC1A53"/>
    <w:rsid w:val="00EC4C03"/>
    <w:rsid w:val="00EC654C"/>
    <w:rsid w:val="00EE11F0"/>
    <w:rsid w:val="00F10814"/>
    <w:rsid w:val="00F2420A"/>
    <w:rsid w:val="00F327B8"/>
    <w:rsid w:val="00F432A0"/>
    <w:rsid w:val="00F61FA1"/>
    <w:rsid w:val="00F751A5"/>
    <w:rsid w:val="00F87476"/>
    <w:rsid w:val="00FB5B58"/>
    <w:rsid w:val="00FC4A18"/>
    <w:rsid w:val="00FD2A96"/>
    <w:rsid w:val="00FE6DE3"/>
    <w:rsid w:val="00FF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B9"/>
  </w:style>
  <w:style w:type="paragraph" w:styleId="1">
    <w:name w:val="heading 1"/>
    <w:basedOn w:val="a"/>
    <w:link w:val="10"/>
    <w:uiPriority w:val="9"/>
    <w:qFormat/>
    <w:rsid w:val="00CB6E30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2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9z0">
    <w:name w:val="WW8Num9z0"/>
    <w:rsid w:val="00C8122F"/>
    <w:rPr>
      <w:rFonts w:ascii="Wingdings 2" w:hAnsi="Wingdings 2" w:cs="OpenSymbol"/>
    </w:rPr>
  </w:style>
  <w:style w:type="character" w:styleId="a5">
    <w:name w:val="Hyperlink"/>
    <w:basedOn w:val="a0"/>
    <w:rsid w:val="001D5901"/>
    <w:rPr>
      <w:color w:val="0000FF"/>
      <w:u w:val="single"/>
    </w:rPr>
  </w:style>
  <w:style w:type="paragraph" w:customStyle="1" w:styleId="ConsPlusNonformat">
    <w:name w:val="ConsPlusNonformat"/>
    <w:uiPriority w:val="99"/>
    <w:rsid w:val="003B1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93B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3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E53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A463F-7072-427D-BCA9-301EC3B1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117</cp:revision>
  <cp:lastPrinted>2016-01-19T01:38:00Z</cp:lastPrinted>
  <dcterms:created xsi:type="dcterms:W3CDTF">2014-07-16T06:04:00Z</dcterms:created>
  <dcterms:modified xsi:type="dcterms:W3CDTF">2016-01-19T01:38:00Z</dcterms:modified>
</cp:coreProperties>
</file>